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29" w:rsidRDefault="00974329" w:rsidP="00974329"/>
    <w:tbl>
      <w:tblPr>
        <w:tblW w:w="5000" w:type="pct"/>
        <w:jc w:val="center"/>
        <w:tblLook w:val="04A0"/>
      </w:tblPr>
      <w:tblGrid>
        <w:gridCol w:w="9576"/>
      </w:tblGrid>
      <w:tr w:rsidR="00920706" w:rsidRPr="00F00987" w:rsidTr="00F72682">
        <w:trPr>
          <w:trHeight w:val="2880"/>
          <w:jc w:val="center"/>
        </w:trPr>
        <w:tc>
          <w:tcPr>
            <w:tcW w:w="5000" w:type="pct"/>
          </w:tcPr>
          <w:p w:rsidR="00920706" w:rsidRPr="00F00987" w:rsidRDefault="00920706" w:rsidP="00F72682">
            <w:pPr>
              <w:pStyle w:val="NoSpacing"/>
              <w:jc w:val="center"/>
              <w:rPr>
                <w:rFonts w:ascii="Arial" w:hAnsi="Arial" w:cs="Arial"/>
                <w:caps/>
              </w:rPr>
            </w:pPr>
            <w:r w:rsidRPr="00F00987">
              <w:rPr>
                <w:rFonts w:ascii="Arial" w:hAnsi="Arial" w:cs="Arial"/>
                <w:caps/>
              </w:rPr>
              <w:t>PA Public Utility Commission</w:t>
            </w:r>
          </w:p>
        </w:tc>
      </w:tr>
      <w:tr w:rsidR="00920706" w:rsidRPr="00F00987" w:rsidTr="00F72682">
        <w:trPr>
          <w:trHeight w:val="1440"/>
          <w:jc w:val="center"/>
        </w:trPr>
        <w:tc>
          <w:tcPr>
            <w:tcW w:w="5000" w:type="pct"/>
            <w:tcBorders>
              <w:bottom w:val="single" w:sz="4" w:space="0" w:color="4F81BD"/>
            </w:tcBorders>
            <w:vAlign w:val="center"/>
          </w:tcPr>
          <w:p w:rsidR="00920706" w:rsidRDefault="00077FA4" w:rsidP="00077FA4">
            <w:pPr>
              <w:pStyle w:val="NoSpacing"/>
              <w:jc w:val="center"/>
              <w:rPr>
                <w:rFonts w:ascii="Arial" w:hAnsi="Arial" w:cs="Arial"/>
                <w:sz w:val="80"/>
                <w:szCs w:val="80"/>
              </w:rPr>
            </w:pPr>
            <w:r>
              <w:rPr>
                <w:rFonts w:ascii="Arial" w:hAnsi="Arial" w:cs="Arial"/>
                <w:sz w:val="80"/>
                <w:szCs w:val="80"/>
              </w:rPr>
              <w:t>T</w:t>
            </w:r>
            <w:r w:rsidR="00920706" w:rsidRPr="00F00987">
              <w:rPr>
                <w:rFonts w:ascii="Arial" w:hAnsi="Arial" w:cs="Arial"/>
                <w:sz w:val="80"/>
                <w:szCs w:val="80"/>
              </w:rPr>
              <w:t xml:space="preserve">he Act 129 </w:t>
            </w:r>
            <w:r w:rsidR="00920706">
              <w:rPr>
                <w:rFonts w:ascii="Arial" w:hAnsi="Arial" w:cs="Arial"/>
                <w:sz w:val="80"/>
                <w:szCs w:val="80"/>
              </w:rPr>
              <w:t>Fuel Switching</w:t>
            </w:r>
            <w:r w:rsidR="00920706" w:rsidRPr="00F00987">
              <w:rPr>
                <w:rFonts w:ascii="Arial" w:hAnsi="Arial" w:cs="Arial"/>
                <w:sz w:val="80"/>
                <w:szCs w:val="80"/>
              </w:rPr>
              <w:t xml:space="preserve"> Working Group</w:t>
            </w:r>
          </w:p>
          <w:p w:rsidR="00077FA4" w:rsidRPr="00F00987" w:rsidRDefault="00077FA4" w:rsidP="00077FA4">
            <w:pPr>
              <w:pStyle w:val="NoSpacing"/>
              <w:jc w:val="center"/>
              <w:rPr>
                <w:rFonts w:ascii="Arial" w:hAnsi="Arial" w:cs="Arial"/>
                <w:sz w:val="80"/>
                <w:szCs w:val="80"/>
              </w:rPr>
            </w:pPr>
            <w:r>
              <w:rPr>
                <w:rFonts w:ascii="Arial" w:hAnsi="Arial" w:cs="Arial"/>
                <w:sz w:val="80"/>
                <w:szCs w:val="80"/>
              </w:rPr>
              <w:t>Staff Report</w:t>
            </w:r>
          </w:p>
        </w:tc>
      </w:tr>
      <w:tr w:rsidR="00920706" w:rsidRPr="00F00987" w:rsidTr="00F72682">
        <w:trPr>
          <w:trHeight w:val="720"/>
          <w:jc w:val="center"/>
        </w:trPr>
        <w:tc>
          <w:tcPr>
            <w:tcW w:w="5000" w:type="pct"/>
            <w:tcBorders>
              <w:top w:val="single" w:sz="4" w:space="0" w:color="4F81BD"/>
            </w:tcBorders>
            <w:vAlign w:val="center"/>
          </w:tcPr>
          <w:p w:rsidR="00920706" w:rsidRPr="00F00987" w:rsidRDefault="00920706" w:rsidP="003D7F9F">
            <w:pPr>
              <w:pStyle w:val="NoSpacing"/>
              <w:jc w:val="center"/>
              <w:rPr>
                <w:rFonts w:ascii="Arial" w:hAnsi="Arial" w:cs="Arial"/>
                <w:sz w:val="32"/>
                <w:szCs w:val="32"/>
              </w:rPr>
            </w:pPr>
            <w:r w:rsidRPr="00F00987">
              <w:rPr>
                <w:rFonts w:ascii="Arial" w:hAnsi="Arial" w:cs="Arial"/>
                <w:sz w:val="32"/>
                <w:szCs w:val="32"/>
              </w:rPr>
              <w:t xml:space="preserve">Docket No. </w:t>
            </w:r>
            <w:r w:rsidRPr="003D7F9F">
              <w:rPr>
                <w:rFonts w:ascii="Arial" w:hAnsi="Arial" w:cs="Arial"/>
                <w:sz w:val="32"/>
                <w:szCs w:val="32"/>
              </w:rPr>
              <w:t>M-</w:t>
            </w:r>
            <w:r w:rsidR="003D7F9F" w:rsidRPr="003D7F9F">
              <w:rPr>
                <w:rFonts w:ascii="Arial" w:hAnsi="Arial" w:cs="Arial"/>
                <w:sz w:val="32"/>
                <w:szCs w:val="32"/>
              </w:rPr>
              <w:t>00051865</w:t>
            </w:r>
          </w:p>
        </w:tc>
      </w:tr>
      <w:tr w:rsidR="00920706" w:rsidRPr="00F00987" w:rsidTr="00F72682">
        <w:trPr>
          <w:trHeight w:val="360"/>
          <w:jc w:val="center"/>
        </w:trPr>
        <w:tc>
          <w:tcPr>
            <w:tcW w:w="5000" w:type="pct"/>
            <w:vAlign w:val="center"/>
          </w:tcPr>
          <w:p w:rsidR="00920706" w:rsidRPr="00F00987" w:rsidRDefault="00920706" w:rsidP="00F72682">
            <w:pPr>
              <w:pStyle w:val="NoSpacing"/>
              <w:jc w:val="center"/>
              <w:rPr>
                <w:rFonts w:ascii="Arial" w:hAnsi="Arial" w:cs="Arial"/>
              </w:rPr>
            </w:pPr>
          </w:p>
        </w:tc>
      </w:tr>
      <w:tr w:rsidR="00920706" w:rsidRPr="00F00987" w:rsidTr="00F72682">
        <w:trPr>
          <w:trHeight w:val="360"/>
          <w:jc w:val="center"/>
        </w:trPr>
        <w:tc>
          <w:tcPr>
            <w:tcW w:w="5000" w:type="pct"/>
            <w:vAlign w:val="center"/>
          </w:tcPr>
          <w:p w:rsidR="00920706" w:rsidRPr="00F00987" w:rsidRDefault="00920706" w:rsidP="00F72682">
            <w:pPr>
              <w:pStyle w:val="NoSpacing"/>
              <w:jc w:val="center"/>
              <w:rPr>
                <w:rFonts w:ascii="Arial" w:hAnsi="Arial" w:cs="Arial"/>
                <w:b/>
                <w:bCs/>
              </w:rPr>
            </w:pPr>
          </w:p>
          <w:p w:rsidR="00920706" w:rsidRPr="00F00987" w:rsidRDefault="00920706" w:rsidP="00F72682">
            <w:pPr>
              <w:pStyle w:val="NoSpacing"/>
              <w:jc w:val="center"/>
              <w:rPr>
                <w:rFonts w:ascii="Arial" w:hAnsi="Arial" w:cs="Arial"/>
                <w:b/>
                <w:bCs/>
              </w:rPr>
            </w:pPr>
          </w:p>
          <w:p w:rsidR="00920706" w:rsidRPr="00F00987" w:rsidRDefault="00920706" w:rsidP="00F72682">
            <w:pPr>
              <w:pStyle w:val="NoSpacing"/>
              <w:jc w:val="center"/>
              <w:rPr>
                <w:rFonts w:ascii="Arial" w:hAnsi="Arial" w:cs="Arial"/>
                <w:b/>
                <w:bCs/>
              </w:rPr>
            </w:pPr>
          </w:p>
          <w:p w:rsidR="00920706" w:rsidRPr="00F00987" w:rsidRDefault="00920706" w:rsidP="00F72682">
            <w:pPr>
              <w:pStyle w:val="NoSpacing"/>
              <w:jc w:val="center"/>
              <w:rPr>
                <w:rFonts w:ascii="Arial" w:hAnsi="Arial" w:cs="Arial"/>
                <w:b/>
                <w:bCs/>
              </w:rPr>
            </w:pPr>
          </w:p>
          <w:p w:rsidR="00920706" w:rsidRPr="00F00987" w:rsidRDefault="00920706" w:rsidP="00F72682">
            <w:pPr>
              <w:pStyle w:val="NoSpacing"/>
              <w:jc w:val="center"/>
              <w:rPr>
                <w:rFonts w:ascii="Arial" w:hAnsi="Arial" w:cs="Arial"/>
                <w:b/>
                <w:bCs/>
              </w:rPr>
            </w:pPr>
          </w:p>
          <w:p w:rsidR="00920706" w:rsidRPr="00F00987" w:rsidRDefault="00920706" w:rsidP="00F72682">
            <w:pPr>
              <w:pStyle w:val="NoSpacing"/>
              <w:jc w:val="center"/>
              <w:rPr>
                <w:rFonts w:ascii="Arial" w:hAnsi="Arial" w:cs="Arial"/>
                <w:b/>
                <w:bCs/>
              </w:rPr>
            </w:pPr>
          </w:p>
        </w:tc>
      </w:tr>
      <w:tr w:rsidR="00920706" w:rsidRPr="00F00987" w:rsidTr="00F72682">
        <w:trPr>
          <w:trHeight w:val="360"/>
          <w:jc w:val="center"/>
        </w:trPr>
        <w:tc>
          <w:tcPr>
            <w:tcW w:w="5000" w:type="pct"/>
            <w:vAlign w:val="center"/>
          </w:tcPr>
          <w:p w:rsidR="00920706" w:rsidRPr="00F00987" w:rsidRDefault="003A4280" w:rsidP="003A4280">
            <w:pPr>
              <w:pStyle w:val="NoSpacing"/>
              <w:jc w:val="center"/>
              <w:rPr>
                <w:rFonts w:ascii="Arial" w:hAnsi="Arial" w:cs="Arial"/>
                <w:b/>
                <w:bCs/>
              </w:rPr>
            </w:pPr>
            <w:r>
              <w:rPr>
                <w:rFonts w:ascii="Arial" w:hAnsi="Arial" w:cs="Arial"/>
                <w:b/>
                <w:bCs/>
              </w:rPr>
              <w:t>April 30</w:t>
            </w:r>
            <w:r w:rsidR="00920706" w:rsidRPr="00F00987">
              <w:rPr>
                <w:rFonts w:ascii="Arial" w:hAnsi="Arial" w:cs="Arial"/>
                <w:b/>
                <w:bCs/>
              </w:rPr>
              <w:t>, 2010</w:t>
            </w:r>
          </w:p>
        </w:tc>
      </w:tr>
    </w:tbl>
    <w:p w:rsidR="00920706" w:rsidRPr="00F00987" w:rsidRDefault="00920706" w:rsidP="00920706">
      <w:pPr>
        <w:rPr>
          <w:rFonts w:ascii="Arial" w:hAnsi="Arial" w:cs="Arial"/>
        </w:rPr>
      </w:pPr>
    </w:p>
    <w:p w:rsidR="00920706" w:rsidRPr="00F00987" w:rsidRDefault="00920706" w:rsidP="00920706">
      <w:pPr>
        <w:rPr>
          <w:rFonts w:ascii="Arial" w:hAnsi="Arial" w:cs="Arial"/>
        </w:rPr>
      </w:pPr>
    </w:p>
    <w:tbl>
      <w:tblPr>
        <w:tblpPr w:leftFromText="187" w:rightFromText="187" w:horzAnchor="margin" w:tblpXSpec="center" w:tblpYSpec="bottom"/>
        <w:tblW w:w="5000" w:type="pct"/>
        <w:tblLook w:val="04A0"/>
      </w:tblPr>
      <w:tblGrid>
        <w:gridCol w:w="9576"/>
      </w:tblGrid>
      <w:tr w:rsidR="00920706" w:rsidRPr="00F00987" w:rsidTr="00F72682">
        <w:tc>
          <w:tcPr>
            <w:tcW w:w="5000" w:type="pct"/>
          </w:tcPr>
          <w:p w:rsidR="00920706" w:rsidRPr="00F00987" w:rsidRDefault="00920706" w:rsidP="00F72682">
            <w:pPr>
              <w:pStyle w:val="NoSpacing"/>
              <w:rPr>
                <w:rFonts w:ascii="Arial" w:hAnsi="Arial" w:cs="Arial"/>
              </w:rPr>
            </w:pPr>
          </w:p>
        </w:tc>
      </w:tr>
    </w:tbl>
    <w:p w:rsidR="00891402" w:rsidRDefault="00891402" w:rsidP="00920706">
      <w:pPr>
        <w:rPr>
          <w:rFonts w:ascii="Arial" w:hAnsi="Arial" w:cs="Arial"/>
        </w:rPr>
      </w:pPr>
    </w:p>
    <w:p w:rsidR="00891402" w:rsidRDefault="00891402">
      <w:pPr>
        <w:spacing w:after="0" w:line="240" w:lineRule="auto"/>
        <w:rPr>
          <w:rFonts w:ascii="Arial" w:hAnsi="Arial" w:cs="Arial"/>
        </w:rPr>
      </w:pPr>
      <w:r>
        <w:rPr>
          <w:rFonts w:ascii="Arial" w:hAnsi="Arial" w:cs="Arial"/>
        </w:rPr>
        <w:br w:type="page"/>
      </w:r>
    </w:p>
    <w:p w:rsidR="00920706" w:rsidRPr="00F00987" w:rsidRDefault="00920706" w:rsidP="00920706">
      <w:pPr>
        <w:rPr>
          <w:rFonts w:ascii="Arial" w:hAnsi="Arial" w:cs="Arial"/>
        </w:rPr>
      </w:pPr>
    </w:p>
    <w:p w:rsidR="00891402" w:rsidRDefault="00891402" w:rsidP="00891402">
      <w:pPr>
        <w:jc w:val="center"/>
        <w:rPr>
          <w:rFonts w:ascii="Arial" w:hAnsi="Arial" w:cs="Arial"/>
          <w:b/>
          <w:sz w:val="28"/>
          <w:szCs w:val="28"/>
          <w:u w:val="single"/>
        </w:rPr>
      </w:pPr>
      <w:r>
        <w:rPr>
          <w:rFonts w:ascii="Arial" w:hAnsi="Arial" w:cs="Arial"/>
          <w:b/>
          <w:sz w:val="28"/>
          <w:szCs w:val="28"/>
          <w:u w:val="single"/>
        </w:rPr>
        <w:t>TABLE OF CONTENTS</w:t>
      </w:r>
    </w:p>
    <w:p w:rsidR="00891402" w:rsidRDefault="00891402" w:rsidP="00891402">
      <w:pPr>
        <w:jc w:val="center"/>
        <w:rPr>
          <w:rFonts w:ascii="Arial" w:hAnsi="Arial" w:cs="Arial"/>
          <w:sz w:val="28"/>
          <w:szCs w:val="28"/>
        </w:rPr>
      </w:pPr>
    </w:p>
    <w:p w:rsidR="00891402" w:rsidRDefault="00685BBA" w:rsidP="00891402">
      <w:pPr>
        <w:pStyle w:val="TOC1"/>
        <w:tabs>
          <w:tab w:val="right" w:leader="dot" w:pos="9350"/>
        </w:tabs>
        <w:rPr>
          <w:rFonts w:asciiTheme="minorHAnsi" w:eastAsiaTheme="minorEastAsia" w:hAnsiTheme="minorHAnsi" w:cstheme="minorBidi"/>
          <w:noProof/>
        </w:rPr>
      </w:pPr>
      <w:r>
        <w:rPr>
          <w:rFonts w:ascii="Arial" w:hAnsi="Arial" w:cs="Arial"/>
          <w:sz w:val="28"/>
          <w:szCs w:val="28"/>
        </w:rPr>
        <w:fldChar w:fldCharType="begin"/>
      </w:r>
      <w:r w:rsidR="00891402">
        <w:rPr>
          <w:rFonts w:ascii="Arial" w:hAnsi="Arial" w:cs="Arial"/>
          <w:sz w:val="28"/>
          <w:szCs w:val="28"/>
        </w:rPr>
        <w:instrText xml:space="preserve"> TOC \o "1-3" \h \z \u </w:instrText>
      </w:r>
      <w:r>
        <w:rPr>
          <w:rFonts w:ascii="Arial" w:hAnsi="Arial" w:cs="Arial"/>
          <w:sz w:val="28"/>
          <w:szCs w:val="28"/>
        </w:rPr>
        <w:fldChar w:fldCharType="separate"/>
      </w:r>
      <w:hyperlink w:anchor="_Toc260316367" w:history="1">
        <w:r w:rsidR="00891402" w:rsidRPr="005F7BFA">
          <w:rPr>
            <w:rStyle w:val="Hyperlink"/>
            <w:rFonts w:ascii="Arial" w:hAnsi="Arial" w:cs="Arial"/>
            <w:b/>
            <w:noProof/>
          </w:rPr>
          <w:t>BACKGROUND</w:t>
        </w:r>
        <w:r w:rsidR="00891402">
          <w:rPr>
            <w:noProof/>
            <w:webHidden/>
          </w:rPr>
          <w:tab/>
        </w:r>
        <w:r>
          <w:rPr>
            <w:noProof/>
            <w:webHidden/>
          </w:rPr>
          <w:fldChar w:fldCharType="begin"/>
        </w:r>
        <w:r w:rsidR="00891402">
          <w:rPr>
            <w:noProof/>
            <w:webHidden/>
          </w:rPr>
          <w:instrText xml:space="preserve"> PAGEREF _Toc260316367 \h </w:instrText>
        </w:r>
        <w:r>
          <w:rPr>
            <w:noProof/>
            <w:webHidden/>
          </w:rPr>
        </w:r>
        <w:r>
          <w:rPr>
            <w:noProof/>
            <w:webHidden/>
          </w:rPr>
          <w:fldChar w:fldCharType="separate"/>
        </w:r>
        <w:r w:rsidR="00122CDD">
          <w:rPr>
            <w:noProof/>
            <w:webHidden/>
          </w:rPr>
          <w:t>1</w:t>
        </w:r>
        <w:r>
          <w:rPr>
            <w:noProof/>
            <w:webHidden/>
          </w:rPr>
          <w:fldChar w:fldCharType="end"/>
        </w:r>
      </w:hyperlink>
    </w:p>
    <w:p w:rsidR="00891402" w:rsidRDefault="00685BBA" w:rsidP="00891402">
      <w:pPr>
        <w:pStyle w:val="TOC1"/>
        <w:tabs>
          <w:tab w:val="right" w:leader="dot" w:pos="9350"/>
        </w:tabs>
        <w:rPr>
          <w:rFonts w:asciiTheme="minorHAnsi" w:eastAsiaTheme="minorEastAsia" w:hAnsiTheme="minorHAnsi" w:cstheme="minorBidi"/>
          <w:noProof/>
        </w:rPr>
      </w:pPr>
      <w:hyperlink w:anchor="_Toc260316368" w:history="1">
        <w:r w:rsidR="00891402" w:rsidRPr="005F7BFA">
          <w:rPr>
            <w:rStyle w:val="Hyperlink"/>
            <w:rFonts w:ascii="Arial" w:hAnsi="Arial" w:cs="Arial"/>
            <w:b/>
            <w:noProof/>
          </w:rPr>
          <w:t>WORKING GROUP MEMBERS AND MEETINGS</w:t>
        </w:r>
        <w:r w:rsidR="00891402">
          <w:rPr>
            <w:noProof/>
            <w:webHidden/>
          </w:rPr>
          <w:tab/>
        </w:r>
        <w:r>
          <w:rPr>
            <w:noProof/>
            <w:webHidden/>
          </w:rPr>
          <w:fldChar w:fldCharType="begin"/>
        </w:r>
        <w:r w:rsidR="00891402">
          <w:rPr>
            <w:noProof/>
            <w:webHidden/>
          </w:rPr>
          <w:instrText xml:space="preserve"> PAGEREF _Toc260316368 \h </w:instrText>
        </w:r>
        <w:r>
          <w:rPr>
            <w:noProof/>
            <w:webHidden/>
          </w:rPr>
        </w:r>
        <w:r>
          <w:rPr>
            <w:noProof/>
            <w:webHidden/>
          </w:rPr>
          <w:fldChar w:fldCharType="separate"/>
        </w:r>
        <w:r w:rsidR="00122CDD">
          <w:rPr>
            <w:noProof/>
            <w:webHidden/>
          </w:rPr>
          <w:t>2</w:t>
        </w:r>
        <w:r>
          <w:rPr>
            <w:noProof/>
            <w:webHidden/>
          </w:rPr>
          <w:fldChar w:fldCharType="end"/>
        </w:r>
      </w:hyperlink>
    </w:p>
    <w:p w:rsidR="00891402" w:rsidRDefault="00685BBA" w:rsidP="00891402">
      <w:pPr>
        <w:pStyle w:val="TOC1"/>
        <w:tabs>
          <w:tab w:val="right" w:leader="dot" w:pos="9350"/>
        </w:tabs>
        <w:rPr>
          <w:rFonts w:asciiTheme="minorHAnsi" w:eastAsiaTheme="minorEastAsia" w:hAnsiTheme="minorHAnsi" w:cstheme="minorBidi"/>
          <w:noProof/>
        </w:rPr>
      </w:pPr>
      <w:hyperlink w:anchor="_Toc260316369" w:history="1">
        <w:r w:rsidR="00891402" w:rsidRPr="005F7BFA">
          <w:rPr>
            <w:rStyle w:val="Hyperlink"/>
            <w:rFonts w:ascii="Arial" w:hAnsi="Arial" w:cs="Arial"/>
            <w:b/>
            <w:noProof/>
          </w:rPr>
          <w:t>TOPICS AND RECOMMENDATIONS</w:t>
        </w:r>
        <w:r w:rsidR="00891402">
          <w:rPr>
            <w:noProof/>
            <w:webHidden/>
          </w:rPr>
          <w:tab/>
        </w:r>
        <w:r>
          <w:rPr>
            <w:noProof/>
            <w:webHidden/>
          </w:rPr>
          <w:fldChar w:fldCharType="begin"/>
        </w:r>
        <w:r w:rsidR="00891402">
          <w:rPr>
            <w:noProof/>
            <w:webHidden/>
          </w:rPr>
          <w:instrText xml:space="preserve"> PAGEREF _Toc260316369 \h </w:instrText>
        </w:r>
        <w:r>
          <w:rPr>
            <w:noProof/>
            <w:webHidden/>
          </w:rPr>
        </w:r>
        <w:r>
          <w:rPr>
            <w:noProof/>
            <w:webHidden/>
          </w:rPr>
          <w:fldChar w:fldCharType="separate"/>
        </w:r>
        <w:r w:rsidR="00122CDD">
          <w:rPr>
            <w:noProof/>
            <w:webHidden/>
          </w:rPr>
          <w:t>3</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0" w:history="1">
        <w:r w:rsidR="00891402" w:rsidRPr="00797F49">
          <w:rPr>
            <w:rStyle w:val="Hyperlink"/>
            <w:rFonts w:ascii="Arial" w:hAnsi="Arial" w:cs="Arial"/>
            <w:noProof/>
          </w:rPr>
          <w:t>1.</w:t>
        </w:r>
        <w:r w:rsidR="00891402">
          <w:rPr>
            <w:rFonts w:asciiTheme="minorHAnsi" w:eastAsiaTheme="minorEastAsia" w:hAnsiTheme="minorHAnsi" w:cstheme="minorBidi"/>
            <w:noProof/>
          </w:rPr>
          <w:tab/>
        </w:r>
        <w:r w:rsidR="00891402" w:rsidRPr="00797F49">
          <w:rPr>
            <w:rStyle w:val="Hyperlink"/>
            <w:rFonts w:ascii="Arial" w:hAnsi="Arial" w:cs="Arial"/>
            <w:noProof/>
          </w:rPr>
          <w:t>Are energy efficiency and conservation measures that offer incentives to customers to switch from electric heat to gas heat, or vice versa, appropriate for EDC EE&amp;C programs?</w:t>
        </w:r>
        <w:r w:rsidR="00891402">
          <w:rPr>
            <w:noProof/>
            <w:webHidden/>
          </w:rPr>
          <w:tab/>
        </w:r>
        <w:r>
          <w:rPr>
            <w:noProof/>
            <w:webHidden/>
          </w:rPr>
          <w:fldChar w:fldCharType="begin"/>
        </w:r>
        <w:r w:rsidR="00891402">
          <w:rPr>
            <w:noProof/>
            <w:webHidden/>
          </w:rPr>
          <w:instrText xml:space="preserve"> PAGEREF _Toc260316370 \h </w:instrText>
        </w:r>
        <w:r>
          <w:rPr>
            <w:noProof/>
            <w:webHidden/>
          </w:rPr>
        </w:r>
        <w:r>
          <w:rPr>
            <w:noProof/>
            <w:webHidden/>
          </w:rPr>
          <w:fldChar w:fldCharType="separate"/>
        </w:r>
        <w:r w:rsidR="00122CDD">
          <w:rPr>
            <w:noProof/>
            <w:webHidden/>
          </w:rPr>
          <w:t>4</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1" w:history="1">
        <w:r w:rsidR="00891402" w:rsidRPr="00797F49">
          <w:rPr>
            <w:rStyle w:val="Hyperlink"/>
            <w:rFonts w:ascii="Arial" w:hAnsi="Arial" w:cs="Arial"/>
            <w:noProof/>
          </w:rPr>
          <w:t>2.</w:t>
        </w:r>
        <w:r w:rsidR="00891402">
          <w:rPr>
            <w:rFonts w:asciiTheme="minorHAnsi" w:eastAsiaTheme="minorEastAsia" w:hAnsiTheme="minorHAnsi" w:cstheme="minorBidi"/>
            <w:noProof/>
          </w:rPr>
          <w:tab/>
        </w:r>
        <w:r w:rsidR="00891402" w:rsidRPr="00797F49">
          <w:rPr>
            <w:rStyle w:val="Hyperlink"/>
            <w:rFonts w:ascii="Arial" w:hAnsi="Arial" w:cs="Arial"/>
            <w:noProof/>
          </w:rPr>
          <w:t>Is it appropriate for electric customers to be subsidizing a conversion from electric to another fuel source?</w:t>
        </w:r>
        <w:r w:rsidR="00891402">
          <w:rPr>
            <w:noProof/>
            <w:webHidden/>
          </w:rPr>
          <w:tab/>
        </w:r>
        <w:r>
          <w:rPr>
            <w:noProof/>
            <w:webHidden/>
          </w:rPr>
          <w:fldChar w:fldCharType="begin"/>
        </w:r>
        <w:r w:rsidR="00891402">
          <w:rPr>
            <w:noProof/>
            <w:webHidden/>
          </w:rPr>
          <w:instrText xml:space="preserve"> PAGEREF _Toc260316371 \h </w:instrText>
        </w:r>
        <w:r>
          <w:rPr>
            <w:noProof/>
            <w:webHidden/>
          </w:rPr>
        </w:r>
        <w:r>
          <w:rPr>
            <w:noProof/>
            <w:webHidden/>
          </w:rPr>
          <w:fldChar w:fldCharType="separate"/>
        </w:r>
        <w:r w:rsidR="00122CDD">
          <w:rPr>
            <w:noProof/>
            <w:webHidden/>
          </w:rPr>
          <w:t>7</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2" w:history="1">
        <w:r w:rsidR="00891402" w:rsidRPr="00797F49">
          <w:rPr>
            <w:rStyle w:val="Hyperlink"/>
            <w:rFonts w:ascii="Arial" w:hAnsi="Arial" w:cs="Arial"/>
            <w:noProof/>
          </w:rPr>
          <w:t>3.</w:t>
        </w:r>
        <w:r w:rsidR="00891402">
          <w:rPr>
            <w:rFonts w:asciiTheme="minorHAnsi" w:eastAsiaTheme="minorEastAsia" w:hAnsiTheme="minorHAnsi" w:cstheme="minorBidi"/>
            <w:noProof/>
          </w:rPr>
          <w:tab/>
        </w:r>
        <w:r w:rsidR="00891402" w:rsidRPr="00797F49">
          <w:rPr>
            <w:rStyle w:val="Hyperlink"/>
            <w:rFonts w:ascii="Arial" w:hAnsi="Arial" w:cs="Arial"/>
            <w:noProof/>
          </w:rPr>
          <w:t>Is it appropriate in service territories where access to natural gas is not universally accessible?</w:t>
        </w:r>
        <w:r w:rsidR="00891402">
          <w:rPr>
            <w:noProof/>
            <w:webHidden/>
          </w:rPr>
          <w:tab/>
        </w:r>
        <w:r>
          <w:rPr>
            <w:noProof/>
            <w:webHidden/>
          </w:rPr>
          <w:fldChar w:fldCharType="begin"/>
        </w:r>
        <w:r w:rsidR="00891402">
          <w:rPr>
            <w:noProof/>
            <w:webHidden/>
          </w:rPr>
          <w:instrText xml:space="preserve"> PAGEREF _Toc260316372 \h </w:instrText>
        </w:r>
        <w:r>
          <w:rPr>
            <w:noProof/>
            <w:webHidden/>
          </w:rPr>
        </w:r>
        <w:r>
          <w:rPr>
            <w:noProof/>
            <w:webHidden/>
          </w:rPr>
          <w:fldChar w:fldCharType="separate"/>
        </w:r>
        <w:r w:rsidR="00122CDD">
          <w:rPr>
            <w:noProof/>
            <w:webHidden/>
          </w:rPr>
          <w:t>8</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3" w:history="1">
        <w:r w:rsidR="00891402" w:rsidRPr="00797F49">
          <w:rPr>
            <w:rStyle w:val="Hyperlink"/>
            <w:rFonts w:ascii="Arial" w:hAnsi="Arial" w:cs="Arial"/>
            <w:noProof/>
          </w:rPr>
          <w:t>4.</w:t>
        </w:r>
        <w:r w:rsidR="00891402">
          <w:rPr>
            <w:rFonts w:asciiTheme="minorHAnsi" w:eastAsiaTheme="minorEastAsia" w:hAnsiTheme="minorHAnsi" w:cstheme="minorBidi"/>
            <w:noProof/>
          </w:rPr>
          <w:tab/>
        </w:r>
        <w:r w:rsidR="00891402" w:rsidRPr="00797F49">
          <w:rPr>
            <w:rStyle w:val="Hyperlink"/>
            <w:rFonts w:ascii="Arial" w:hAnsi="Arial" w:cs="Arial"/>
            <w:noProof/>
          </w:rPr>
          <w:t>If permitted, should there be a cap on the level of subsidy provided; if so, what should that cap be?</w:t>
        </w:r>
        <w:r w:rsidR="00891402">
          <w:rPr>
            <w:noProof/>
            <w:webHidden/>
          </w:rPr>
          <w:tab/>
        </w:r>
        <w:r>
          <w:rPr>
            <w:noProof/>
            <w:webHidden/>
          </w:rPr>
          <w:fldChar w:fldCharType="begin"/>
        </w:r>
        <w:r w:rsidR="00891402">
          <w:rPr>
            <w:noProof/>
            <w:webHidden/>
          </w:rPr>
          <w:instrText xml:space="preserve"> PAGEREF _Toc260316373 \h </w:instrText>
        </w:r>
        <w:r>
          <w:rPr>
            <w:noProof/>
            <w:webHidden/>
          </w:rPr>
        </w:r>
        <w:r>
          <w:rPr>
            <w:noProof/>
            <w:webHidden/>
          </w:rPr>
          <w:fldChar w:fldCharType="separate"/>
        </w:r>
        <w:r w:rsidR="00122CDD">
          <w:rPr>
            <w:noProof/>
            <w:webHidden/>
          </w:rPr>
          <w:t>9</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4" w:history="1">
        <w:r w:rsidR="00891402" w:rsidRPr="00797F49">
          <w:rPr>
            <w:rStyle w:val="Hyperlink"/>
            <w:rFonts w:ascii="Arial" w:hAnsi="Arial" w:cs="Arial"/>
            <w:noProof/>
          </w:rPr>
          <w:t>5.</w:t>
        </w:r>
        <w:r w:rsidR="00891402">
          <w:rPr>
            <w:rFonts w:asciiTheme="minorHAnsi" w:eastAsiaTheme="minorEastAsia" w:hAnsiTheme="minorHAnsi" w:cstheme="minorBidi"/>
            <w:noProof/>
          </w:rPr>
          <w:tab/>
        </w:r>
        <w:r w:rsidR="00891402" w:rsidRPr="00797F49">
          <w:rPr>
            <w:rStyle w:val="Hyperlink"/>
            <w:rFonts w:ascii="Arial" w:hAnsi="Arial" w:cs="Arial"/>
            <w:noProof/>
          </w:rPr>
          <w:t>If permitted, should there be a minimum efficiency rating for the new equipment; if so what should the minimum efficiency rating be?</w:t>
        </w:r>
        <w:r w:rsidR="00891402">
          <w:rPr>
            <w:noProof/>
            <w:webHidden/>
          </w:rPr>
          <w:tab/>
        </w:r>
        <w:r>
          <w:rPr>
            <w:noProof/>
            <w:webHidden/>
          </w:rPr>
          <w:fldChar w:fldCharType="begin"/>
        </w:r>
        <w:r w:rsidR="00891402">
          <w:rPr>
            <w:noProof/>
            <w:webHidden/>
          </w:rPr>
          <w:instrText xml:space="preserve"> PAGEREF _Toc260316374 \h </w:instrText>
        </w:r>
        <w:r>
          <w:rPr>
            <w:noProof/>
            <w:webHidden/>
          </w:rPr>
        </w:r>
        <w:r>
          <w:rPr>
            <w:noProof/>
            <w:webHidden/>
          </w:rPr>
          <w:fldChar w:fldCharType="separate"/>
        </w:r>
        <w:r w:rsidR="00122CDD">
          <w:rPr>
            <w:noProof/>
            <w:webHidden/>
          </w:rPr>
          <w:t>12</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5" w:history="1">
        <w:r w:rsidR="00891402" w:rsidRPr="00797F49">
          <w:rPr>
            <w:rStyle w:val="Hyperlink"/>
            <w:rFonts w:ascii="Arial" w:hAnsi="Arial" w:cs="Arial"/>
            <w:noProof/>
          </w:rPr>
          <w:t>6.</w:t>
        </w:r>
        <w:r w:rsidR="00891402">
          <w:rPr>
            <w:rFonts w:asciiTheme="minorHAnsi" w:eastAsiaTheme="minorEastAsia" w:hAnsiTheme="minorHAnsi" w:cstheme="minorBidi"/>
            <w:noProof/>
          </w:rPr>
          <w:tab/>
        </w:r>
        <w:r w:rsidR="00891402" w:rsidRPr="00797F49">
          <w:rPr>
            <w:rStyle w:val="Hyperlink"/>
            <w:rFonts w:ascii="Arial" w:hAnsi="Arial" w:cs="Arial"/>
            <w:noProof/>
          </w:rPr>
          <w:t>If permitted, what level of electric energy savings should be attributable to the conversion?</w:t>
        </w:r>
        <w:r w:rsidR="00891402">
          <w:rPr>
            <w:noProof/>
            <w:webHidden/>
          </w:rPr>
          <w:tab/>
        </w:r>
        <w:r>
          <w:rPr>
            <w:noProof/>
            <w:webHidden/>
          </w:rPr>
          <w:fldChar w:fldCharType="begin"/>
        </w:r>
        <w:r w:rsidR="00891402">
          <w:rPr>
            <w:noProof/>
            <w:webHidden/>
          </w:rPr>
          <w:instrText xml:space="preserve"> PAGEREF _Toc260316375 \h </w:instrText>
        </w:r>
        <w:r>
          <w:rPr>
            <w:noProof/>
            <w:webHidden/>
          </w:rPr>
        </w:r>
        <w:r>
          <w:rPr>
            <w:noProof/>
            <w:webHidden/>
          </w:rPr>
          <w:fldChar w:fldCharType="separate"/>
        </w:r>
        <w:r w:rsidR="00122CDD">
          <w:rPr>
            <w:noProof/>
            <w:webHidden/>
          </w:rPr>
          <w:t>13</w:t>
        </w:r>
        <w:r>
          <w:rPr>
            <w:noProof/>
            <w:webHidden/>
          </w:rPr>
          <w:fldChar w:fldCharType="end"/>
        </w:r>
      </w:hyperlink>
    </w:p>
    <w:p w:rsidR="00891402" w:rsidRDefault="00685BBA" w:rsidP="00891402">
      <w:pPr>
        <w:pStyle w:val="TOC3"/>
        <w:tabs>
          <w:tab w:val="left" w:pos="880"/>
          <w:tab w:val="right" w:leader="dot" w:pos="9350"/>
        </w:tabs>
        <w:rPr>
          <w:rFonts w:asciiTheme="minorHAnsi" w:eastAsiaTheme="minorEastAsia" w:hAnsiTheme="minorHAnsi" w:cstheme="minorBidi"/>
          <w:noProof/>
        </w:rPr>
      </w:pPr>
      <w:hyperlink w:anchor="_Toc260316376" w:history="1">
        <w:r w:rsidR="00891402" w:rsidRPr="00797F49">
          <w:rPr>
            <w:rStyle w:val="Hyperlink"/>
            <w:rFonts w:ascii="Arial" w:hAnsi="Arial" w:cs="Arial"/>
            <w:noProof/>
          </w:rPr>
          <w:t>a.</w:t>
        </w:r>
        <w:r w:rsidR="00891402">
          <w:rPr>
            <w:rFonts w:asciiTheme="minorHAnsi" w:eastAsiaTheme="minorEastAsia" w:hAnsiTheme="minorHAnsi" w:cstheme="minorBidi"/>
            <w:noProof/>
          </w:rPr>
          <w:tab/>
        </w:r>
        <w:r w:rsidR="00891402" w:rsidRPr="00797F49">
          <w:rPr>
            <w:rStyle w:val="Hyperlink"/>
            <w:rFonts w:ascii="Arial" w:hAnsi="Arial" w:cs="Arial"/>
            <w:noProof/>
          </w:rPr>
          <w:t>Should it be the total electric load reduction?</w:t>
        </w:r>
        <w:r w:rsidR="00891402">
          <w:rPr>
            <w:noProof/>
            <w:webHidden/>
          </w:rPr>
          <w:tab/>
        </w:r>
        <w:r>
          <w:rPr>
            <w:noProof/>
            <w:webHidden/>
          </w:rPr>
          <w:fldChar w:fldCharType="begin"/>
        </w:r>
        <w:r w:rsidR="00891402">
          <w:rPr>
            <w:noProof/>
            <w:webHidden/>
          </w:rPr>
          <w:instrText xml:space="preserve"> PAGEREF _Toc260316376 \h </w:instrText>
        </w:r>
        <w:r>
          <w:rPr>
            <w:noProof/>
            <w:webHidden/>
          </w:rPr>
        </w:r>
        <w:r>
          <w:rPr>
            <w:noProof/>
            <w:webHidden/>
          </w:rPr>
          <w:fldChar w:fldCharType="separate"/>
        </w:r>
        <w:r w:rsidR="00122CDD">
          <w:rPr>
            <w:noProof/>
            <w:webHidden/>
          </w:rPr>
          <w:t>13</w:t>
        </w:r>
        <w:r>
          <w:rPr>
            <w:noProof/>
            <w:webHidden/>
          </w:rPr>
          <w:fldChar w:fldCharType="end"/>
        </w:r>
      </w:hyperlink>
    </w:p>
    <w:p w:rsidR="00891402" w:rsidRDefault="00685BBA" w:rsidP="00891402">
      <w:pPr>
        <w:pStyle w:val="TOC3"/>
        <w:tabs>
          <w:tab w:val="left" w:pos="880"/>
          <w:tab w:val="right" w:leader="dot" w:pos="9350"/>
        </w:tabs>
        <w:rPr>
          <w:rFonts w:asciiTheme="minorHAnsi" w:eastAsiaTheme="minorEastAsia" w:hAnsiTheme="minorHAnsi" w:cstheme="minorBidi"/>
          <w:noProof/>
        </w:rPr>
      </w:pPr>
      <w:hyperlink w:anchor="_Toc260316377" w:history="1">
        <w:r w:rsidR="00891402" w:rsidRPr="00797F49">
          <w:rPr>
            <w:rStyle w:val="Hyperlink"/>
            <w:rFonts w:ascii="Arial" w:hAnsi="Arial" w:cs="Arial"/>
            <w:noProof/>
          </w:rPr>
          <w:t>b.</w:t>
        </w:r>
        <w:r w:rsidR="00891402">
          <w:rPr>
            <w:rFonts w:asciiTheme="minorHAnsi" w:eastAsiaTheme="minorEastAsia" w:hAnsiTheme="minorHAnsi" w:cstheme="minorBidi"/>
            <w:noProof/>
          </w:rPr>
          <w:tab/>
        </w:r>
        <w:r w:rsidR="00891402" w:rsidRPr="00797F49">
          <w:rPr>
            <w:rStyle w:val="Hyperlink"/>
            <w:rFonts w:ascii="Arial" w:hAnsi="Arial" w:cs="Arial"/>
            <w:noProof/>
          </w:rPr>
          <w:t>Should it be the difference between the btu ratings of the system being replaced and the new system?</w:t>
        </w:r>
        <w:r w:rsidR="00891402">
          <w:rPr>
            <w:noProof/>
            <w:webHidden/>
          </w:rPr>
          <w:tab/>
        </w:r>
        <w:r>
          <w:rPr>
            <w:noProof/>
            <w:webHidden/>
          </w:rPr>
          <w:fldChar w:fldCharType="begin"/>
        </w:r>
        <w:r w:rsidR="00891402">
          <w:rPr>
            <w:noProof/>
            <w:webHidden/>
          </w:rPr>
          <w:instrText xml:space="preserve"> PAGEREF _Toc260316377 \h </w:instrText>
        </w:r>
        <w:r>
          <w:rPr>
            <w:noProof/>
            <w:webHidden/>
          </w:rPr>
        </w:r>
        <w:r>
          <w:rPr>
            <w:noProof/>
            <w:webHidden/>
          </w:rPr>
          <w:fldChar w:fldCharType="separate"/>
        </w:r>
        <w:r w:rsidR="00122CDD">
          <w:rPr>
            <w:noProof/>
            <w:webHidden/>
          </w:rPr>
          <w:t>13</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8" w:history="1">
        <w:r w:rsidR="00891402" w:rsidRPr="00797F49">
          <w:rPr>
            <w:rStyle w:val="Hyperlink"/>
            <w:rFonts w:ascii="Arial" w:hAnsi="Arial" w:cs="Arial"/>
            <w:noProof/>
          </w:rPr>
          <w:t>7.</w:t>
        </w:r>
        <w:r w:rsidR="00891402">
          <w:rPr>
            <w:rFonts w:asciiTheme="minorHAnsi" w:eastAsiaTheme="minorEastAsia" w:hAnsiTheme="minorHAnsi" w:cstheme="minorBidi"/>
            <w:noProof/>
          </w:rPr>
          <w:tab/>
        </w:r>
        <w:r w:rsidR="00891402" w:rsidRPr="00797F49">
          <w:rPr>
            <w:rStyle w:val="Hyperlink"/>
            <w:rFonts w:ascii="Arial" w:hAnsi="Arial" w:cs="Arial"/>
            <w:noProof/>
          </w:rPr>
          <w:t>If permitted, what costs should be included in the TRC test analysis of such programs?</w:t>
        </w:r>
        <w:r w:rsidR="00891402">
          <w:rPr>
            <w:noProof/>
            <w:webHidden/>
          </w:rPr>
          <w:tab/>
        </w:r>
        <w:r>
          <w:rPr>
            <w:noProof/>
            <w:webHidden/>
          </w:rPr>
          <w:fldChar w:fldCharType="begin"/>
        </w:r>
        <w:r w:rsidR="00891402">
          <w:rPr>
            <w:noProof/>
            <w:webHidden/>
          </w:rPr>
          <w:instrText xml:space="preserve"> PAGEREF _Toc260316378 \h </w:instrText>
        </w:r>
        <w:r>
          <w:rPr>
            <w:noProof/>
            <w:webHidden/>
          </w:rPr>
        </w:r>
        <w:r>
          <w:rPr>
            <w:noProof/>
            <w:webHidden/>
          </w:rPr>
          <w:fldChar w:fldCharType="separate"/>
        </w:r>
        <w:r w:rsidR="00122CDD">
          <w:rPr>
            <w:noProof/>
            <w:webHidden/>
          </w:rPr>
          <w:t>14</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79" w:history="1">
        <w:r w:rsidR="00891402" w:rsidRPr="00797F49">
          <w:rPr>
            <w:rStyle w:val="Hyperlink"/>
            <w:rFonts w:ascii="Arial" w:hAnsi="Arial" w:cs="Arial"/>
            <w:noProof/>
          </w:rPr>
          <w:t>8.</w:t>
        </w:r>
        <w:r w:rsidR="00891402">
          <w:rPr>
            <w:rFonts w:asciiTheme="minorHAnsi" w:eastAsiaTheme="minorEastAsia" w:hAnsiTheme="minorHAnsi" w:cstheme="minorBidi"/>
            <w:noProof/>
          </w:rPr>
          <w:tab/>
        </w:r>
        <w:r w:rsidR="00891402" w:rsidRPr="00797F49">
          <w:rPr>
            <w:rStyle w:val="Hyperlink"/>
            <w:rFonts w:ascii="Arial" w:hAnsi="Arial" w:cs="Arial"/>
            <w:noProof/>
          </w:rPr>
          <w:t>Should the Commission establish an EE&amp;C program for Gas Distribution Companies before allowing fuel switching programs?</w:t>
        </w:r>
        <w:r w:rsidR="00891402">
          <w:rPr>
            <w:noProof/>
            <w:webHidden/>
          </w:rPr>
          <w:tab/>
        </w:r>
        <w:r>
          <w:rPr>
            <w:noProof/>
            <w:webHidden/>
          </w:rPr>
          <w:fldChar w:fldCharType="begin"/>
        </w:r>
        <w:r w:rsidR="00891402">
          <w:rPr>
            <w:noProof/>
            <w:webHidden/>
          </w:rPr>
          <w:instrText xml:space="preserve"> PAGEREF _Toc260316379 \h </w:instrText>
        </w:r>
        <w:r>
          <w:rPr>
            <w:noProof/>
            <w:webHidden/>
          </w:rPr>
        </w:r>
        <w:r>
          <w:rPr>
            <w:noProof/>
            <w:webHidden/>
          </w:rPr>
          <w:fldChar w:fldCharType="separate"/>
        </w:r>
        <w:r w:rsidR="00122CDD">
          <w:rPr>
            <w:noProof/>
            <w:webHidden/>
          </w:rPr>
          <w:t>18</w:t>
        </w:r>
        <w:r>
          <w:rPr>
            <w:noProof/>
            <w:webHidden/>
          </w:rPr>
          <w:fldChar w:fldCharType="end"/>
        </w:r>
      </w:hyperlink>
    </w:p>
    <w:p w:rsidR="00891402" w:rsidRDefault="00685BBA" w:rsidP="00891402">
      <w:pPr>
        <w:pStyle w:val="TOC3"/>
        <w:tabs>
          <w:tab w:val="left" w:pos="880"/>
          <w:tab w:val="right" w:leader="dot" w:pos="9350"/>
        </w:tabs>
        <w:rPr>
          <w:rFonts w:asciiTheme="minorHAnsi" w:eastAsiaTheme="minorEastAsia" w:hAnsiTheme="minorHAnsi" w:cstheme="minorBidi"/>
          <w:noProof/>
        </w:rPr>
      </w:pPr>
      <w:hyperlink w:anchor="_Toc260316380" w:history="1">
        <w:r w:rsidR="00891402" w:rsidRPr="00797F49">
          <w:rPr>
            <w:rStyle w:val="Hyperlink"/>
            <w:rFonts w:ascii="Arial" w:hAnsi="Arial" w:cs="Arial"/>
            <w:noProof/>
          </w:rPr>
          <w:t>a.</w:t>
        </w:r>
        <w:r w:rsidR="00891402">
          <w:rPr>
            <w:rFonts w:asciiTheme="minorHAnsi" w:eastAsiaTheme="minorEastAsia" w:hAnsiTheme="minorHAnsi" w:cstheme="minorBidi"/>
            <w:noProof/>
          </w:rPr>
          <w:tab/>
        </w:r>
        <w:r w:rsidR="00891402" w:rsidRPr="00797F49">
          <w:rPr>
            <w:rStyle w:val="Hyperlink"/>
            <w:rFonts w:ascii="Arial" w:hAnsi="Arial" w:cs="Arial"/>
            <w:noProof/>
          </w:rPr>
          <w:t>Can the Commission establish such a program?</w:t>
        </w:r>
        <w:r w:rsidR="00891402">
          <w:rPr>
            <w:noProof/>
            <w:webHidden/>
          </w:rPr>
          <w:tab/>
        </w:r>
        <w:r>
          <w:rPr>
            <w:noProof/>
            <w:webHidden/>
          </w:rPr>
          <w:fldChar w:fldCharType="begin"/>
        </w:r>
        <w:r w:rsidR="00891402">
          <w:rPr>
            <w:noProof/>
            <w:webHidden/>
          </w:rPr>
          <w:instrText xml:space="preserve"> PAGEREF _Toc260316380 \h </w:instrText>
        </w:r>
        <w:r>
          <w:rPr>
            <w:noProof/>
            <w:webHidden/>
          </w:rPr>
        </w:r>
        <w:r>
          <w:rPr>
            <w:noProof/>
            <w:webHidden/>
          </w:rPr>
          <w:fldChar w:fldCharType="separate"/>
        </w:r>
        <w:r w:rsidR="00122CDD">
          <w:rPr>
            <w:noProof/>
            <w:webHidden/>
          </w:rPr>
          <w:t>18</w:t>
        </w:r>
        <w:r>
          <w:rPr>
            <w:noProof/>
            <w:webHidden/>
          </w:rPr>
          <w:fldChar w:fldCharType="end"/>
        </w:r>
      </w:hyperlink>
    </w:p>
    <w:p w:rsidR="00891402" w:rsidRDefault="00685BBA" w:rsidP="00891402">
      <w:pPr>
        <w:pStyle w:val="TOC3"/>
        <w:tabs>
          <w:tab w:val="left" w:pos="880"/>
          <w:tab w:val="right" w:leader="dot" w:pos="9350"/>
        </w:tabs>
        <w:rPr>
          <w:rFonts w:asciiTheme="minorHAnsi" w:eastAsiaTheme="minorEastAsia" w:hAnsiTheme="minorHAnsi" w:cstheme="minorBidi"/>
          <w:noProof/>
        </w:rPr>
      </w:pPr>
      <w:hyperlink w:anchor="_Toc260316381" w:history="1">
        <w:r w:rsidR="00891402" w:rsidRPr="00797F49">
          <w:rPr>
            <w:rStyle w:val="Hyperlink"/>
            <w:rFonts w:ascii="Arial" w:hAnsi="Arial" w:cs="Arial"/>
            <w:noProof/>
          </w:rPr>
          <w:t>b.</w:t>
        </w:r>
        <w:r w:rsidR="00891402">
          <w:rPr>
            <w:rFonts w:asciiTheme="minorHAnsi" w:eastAsiaTheme="minorEastAsia" w:hAnsiTheme="minorHAnsi" w:cstheme="minorBidi"/>
            <w:noProof/>
          </w:rPr>
          <w:tab/>
        </w:r>
        <w:r w:rsidR="00891402" w:rsidRPr="00797F49">
          <w:rPr>
            <w:rStyle w:val="Hyperlink"/>
            <w:rFonts w:ascii="Arial" w:hAnsi="Arial" w:cs="Arial"/>
            <w:noProof/>
          </w:rPr>
          <w:t>What elements should be included in any such program?</w:t>
        </w:r>
        <w:r w:rsidR="00891402">
          <w:rPr>
            <w:noProof/>
            <w:webHidden/>
          </w:rPr>
          <w:tab/>
        </w:r>
        <w:r>
          <w:rPr>
            <w:noProof/>
            <w:webHidden/>
          </w:rPr>
          <w:fldChar w:fldCharType="begin"/>
        </w:r>
        <w:r w:rsidR="00891402">
          <w:rPr>
            <w:noProof/>
            <w:webHidden/>
          </w:rPr>
          <w:instrText xml:space="preserve"> PAGEREF _Toc260316381 \h </w:instrText>
        </w:r>
        <w:r>
          <w:rPr>
            <w:noProof/>
            <w:webHidden/>
          </w:rPr>
        </w:r>
        <w:r>
          <w:rPr>
            <w:noProof/>
            <w:webHidden/>
          </w:rPr>
          <w:fldChar w:fldCharType="separate"/>
        </w:r>
        <w:r w:rsidR="00122CDD">
          <w:rPr>
            <w:noProof/>
            <w:webHidden/>
          </w:rPr>
          <w:t>18</w:t>
        </w:r>
        <w:r>
          <w:rPr>
            <w:noProof/>
            <w:webHidden/>
          </w:rPr>
          <w:fldChar w:fldCharType="end"/>
        </w:r>
      </w:hyperlink>
    </w:p>
    <w:p w:rsidR="00891402" w:rsidRDefault="00685BBA" w:rsidP="00891402">
      <w:pPr>
        <w:pStyle w:val="TOC2"/>
        <w:tabs>
          <w:tab w:val="left" w:pos="660"/>
          <w:tab w:val="right" w:leader="dot" w:pos="9350"/>
        </w:tabs>
        <w:rPr>
          <w:rFonts w:asciiTheme="minorHAnsi" w:eastAsiaTheme="minorEastAsia" w:hAnsiTheme="minorHAnsi" w:cstheme="minorBidi"/>
          <w:noProof/>
        </w:rPr>
      </w:pPr>
      <w:hyperlink w:anchor="_Toc260316382" w:history="1">
        <w:r w:rsidR="00891402" w:rsidRPr="00797F49">
          <w:rPr>
            <w:rStyle w:val="Hyperlink"/>
            <w:rFonts w:ascii="Arial" w:hAnsi="Arial" w:cs="Arial"/>
            <w:noProof/>
          </w:rPr>
          <w:t>9.</w:t>
        </w:r>
        <w:r w:rsidR="00891402">
          <w:rPr>
            <w:rFonts w:asciiTheme="minorHAnsi" w:eastAsiaTheme="minorEastAsia" w:hAnsiTheme="minorHAnsi" w:cstheme="minorBidi"/>
            <w:noProof/>
          </w:rPr>
          <w:tab/>
        </w:r>
        <w:r w:rsidR="00891402" w:rsidRPr="00797F49">
          <w:rPr>
            <w:rStyle w:val="Hyperlink"/>
            <w:rFonts w:ascii="Arial" w:hAnsi="Arial" w:cs="Arial"/>
            <w:noProof/>
          </w:rPr>
          <w:t>Low Income Customer Fuel Switching</w:t>
        </w:r>
        <w:r w:rsidR="00891402">
          <w:rPr>
            <w:noProof/>
            <w:webHidden/>
          </w:rPr>
          <w:tab/>
        </w:r>
        <w:r>
          <w:rPr>
            <w:noProof/>
            <w:webHidden/>
          </w:rPr>
          <w:fldChar w:fldCharType="begin"/>
        </w:r>
        <w:r w:rsidR="00891402">
          <w:rPr>
            <w:noProof/>
            <w:webHidden/>
          </w:rPr>
          <w:instrText xml:space="preserve"> PAGEREF _Toc260316382 \h </w:instrText>
        </w:r>
        <w:r>
          <w:rPr>
            <w:noProof/>
            <w:webHidden/>
          </w:rPr>
        </w:r>
        <w:r>
          <w:rPr>
            <w:noProof/>
            <w:webHidden/>
          </w:rPr>
          <w:fldChar w:fldCharType="separate"/>
        </w:r>
        <w:r w:rsidR="00122CDD">
          <w:rPr>
            <w:noProof/>
            <w:webHidden/>
          </w:rPr>
          <w:t>20</w:t>
        </w:r>
        <w:r>
          <w:rPr>
            <w:noProof/>
            <w:webHidden/>
          </w:rPr>
          <w:fldChar w:fldCharType="end"/>
        </w:r>
      </w:hyperlink>
    </w:p>
    <w:p w:rsidR="00891402" w:rsidRDefault="00685BBA" w:rsidP="00891402">
      <w:pPr>
        <w:pStyle w:val="TOC2"/>
        <w:tabs>
          <w:tab w:val="left" w:pos="880"/>
          <w:tab w:val="right" w:leader="dot" w:pos="9350"/>
        </w:tabs>
        <w:rPr>
          <w:rFonts w:asciiTheme="minorHAnsi" w:eastAsiaTheme="minorEastAsia" w:hAnsiTheme="minorHAnsi" w:cstheme="minorBidi"/>
          <w:noProof/>
        </w:rPr>
      </w:pPr>
      <w:hyperlink w:anchor="_Toc260316383" w:history="1">
        <w:r w:rsidR="00891402" w:rsidRPr="00797F49">
          <w:rPr>
            <w:rStyle w:val="Hyperlink"/>
            <w:rFonts w:ascii="Arial" w:hAnsi="Arial" w:cs="Arial"/>
            <w:noProof/>
          </w:rPr>
          <w:t>10.</w:t>
        </w:r>
        <w:r w:rsidR="00891402">
          <w:rPr>
            <w:rFonts w:asciiTheme="minorHAnsi" w:eastAsiaTheme="minorEastAsia" w:hAnsiTheme="minorHAnsi" w:cstheme="minorBidi"/>
            <w:noProof/>
          </w:rPr>
          <w:t xml:space="preserve">   </w:t>
        </w:r>
        <w:r w:rsidR="00891402" w:rsidRPr="00797F49">
          <w:rPr>
            <w:rStyle w:val="Hyperlink"/>
            <w:rFonts w:ascii="Arial" w:hAnsi="Arial" w:cs="Arial"/>
            <w:noProof/>
          </w:rPr>
          <w:t>Fuel Neutrality</w:t>
        </w:r>
        <w:r w:rsidR="00891402">
          <w:rPr>
            <w:noProof/>
            <w:webHidden/>
          </w:rPr>
          <w:tab/>
        </w:r>
        <w:r>
          <w:rPr>
            <w:noProof/>
            <w:webHidden/>
          </w:rPr>
          <w:fldChar w:fldCharType="begin"/>
        </w:r>
        <w:r w:rsidR="00891402">
          <w:rPr>
            <w:noProof/>
            <w:webHidden/>
          </w:rPr>
          <w:instrText xml:space="preserve"> PAGEREF _Toc260316383 \h </w:instrText>
        </w:r>
        <w:r>
          <w:rPr>
            <w:noProof/>
            <w:webHidden/>
          </w:rPr>
        </w:r>
        <w:r>
          <w:rPr>
            <w:noProof/>
            <w:webHidden/>
          </w:rPr>
          <w:fldChar w:fldCharType="separate"/>
        </w:r>
        <w:r w:rsidR="00122CDD">
          <w:rPr>
            <w:noProof/>
            <w:webHidden/>
          </w:rPr>
          <w:t>22</w:t>
        </w:r>
        <w:r>
          <w:rPr>
            <w:noProof/>
            <w:webHidden/>
          </w:rPr>
          <w:fldChar w:fldCharType="end"/>
        </w:r>
      </w:hyperlink>
    </w:p>
    <w:p w:rsidR="00891402" w:rsidRDefault="00685BBA" w:rsidP="00891402">
      <w:pPr>
        <w:pStyle w:val="TOC1"/>
        <w:tabs>
          <w:tab w:val="right" w:leader="dot" w:pos="9350"/>
        </w:tabs>
        <w:rPr>
          <w:rFonts w:asciiTheme="minorHAnsi" w:eastAsiaTheme="minorEastAsia" w:hAnsiTheme="minorHAnsi" w:cstheme="minorBidi"/>
          <w:noProof/>
        </w:rPr>
      </w:pPr>
      <w:hyperlink w:anchor="_Toc260316384" w:history="1">
        <w:r w:rsidR="00891402" w:rsidRPr="005F7BFA">
          <w:rPr>
            <w:rStyle w:val="Hyperlink"/>
            <w:rFonts w:ascii="Arial" w:hAnsi="Arial" w:cs="Arial"/>
            <w:b/>
            <w:noProof/>
          </w:rPr>
          <w:t>CONCLUSION</w:t>
        </w:r>
        <w:r w:rsidR="00891402">
          <w:rPr>
            <w:noProof/>
            <w:webHidden/>
          </w:rPr>
          <w:tab/>
        </w:r>
        <w:r>
          <w:rPr>
            <w:noProof/>
            <w:webHidden/>
          </w:rPr>
          <w:fldChar w:fldCharType="begin"/>
        </w:r>
        <w:r w:rsidR="00891402">
          <w:rPr>
            <w:noProof/>
            <w:webHidden/>
          </w:rPr>
          <w:instrText xml:space="preserve"> PAGEREF _Toc260316384 \h </w:instrText>
        </w:r>
        <w:r>
          <w:rPr>
            <w:noProof/>
            <w:webHidden/>
          </w:rPr>
        </w:r>
        <w:r>
          <w:rPr>
            <w:noProof/>
            <w:webHidden/>
          </w:rPr>
          <w:fldChar w:fldCharType="separate"/>
        </w:r>
        <w:r w:rsidR="00122CDD">
          <w:rPr>
            <w:noProof/>
            <w:webHidden/>
          </w:rPr>
          <w:t>24</w:t>
        </w:r>
        <w:r>
          <w:rPr>
            <w:noProof/>
            <w:webHidden/>
          </w:rPr>
          <w:fldChar w:fldCharType="end"/>
        </w:r>
      </w:hyperlink>
    </w:p>
    <w:p w:rsidR="00920706" w:rsidRPr="00F00987" w:rsidRDefault="00685BBA" w:rsidP="00891402">
      <w:pPr>
        <w:jc w:val="center"/>
        <w:rPr>
          <w:rFonts w:ascii="Arial" w:hAnsi="Arial" w:cs="Arial"/>
          <w:sz w:val="24"/>
          <w:szCs w:val="24"/>
        </w:rPr>
        <w:sectPr w:rsidR="00920706" w:rsidRPr="00F00987" w:rsidSect="00F72682">
          <w:headerReference w:type="default" r:id="rId8"/>
          <w:footerReference w:type="default" r:id="rId9"/>
          <w:pgSz w:w="12240" w:h="15840"/>
          <w:pgMar w:top="1440" w:right="1440" w:bottom="1440" w:left="1440" w:header="720" w:footer="720" w:gutter="0"/>
          <w:pgNumType w:start="0"/>
          <w:cols w:space="720"/>
          <w:titlePg/>
          <w:docGrid w:linePitch="360"/>
        </w:sectPr>
      </w:pPr>
      <w:r>
        <w:rPr>
          <w:rFonts w:ascii="Arial" w:hAnsi="Arial" w:cs="Arial"/>
          <w:sz w:val="28"/>
          <w:szCs w:val="28"/>
        </w:rPr>
        <w:fldChar w:fldCharType="end"/>
      </w:r>
    </w:p>
    <w:p w:rsidR="00920706" w:rsidRPr="00F00987" w:rsidRDefault="00920706" w:rsidP="00B40C24">
      <w:pPr>
        <w:pStyle w:val="Heading1"/>
        <w:rPr>
          <w:rFonts w:ascii="Arial" w:hAnsi="Arial" w:cs="Arial"/>
        </w:rPr>
      </w:pPr>
      <w:bookmarkStart w:id="0" w:name="_Toc260316367"/>
      <w:r w:rsidRPr="00F00987">
        <w:rPr>
          <w:rFonts w:ascii="Arial" w:hAnsi="Arial" w:cs="Arial"/>
        </w:rPr>
        <w:lastRenderedPageBreak/>
        <w:t>Background</w:t>
      </w:r>
      <w:bookmarkEnd w:id="0"/>
    </w:p>
    <w:p w:rsidR="00920706" w:rsidRPr="00F00987" w:rsidRDefault="00920706" w:rsidP="009C5E24">
      <w:pPr>
        <w:spacing w:after="0" w:line="360" w:lineRule="auto"/>
        <w:rPr>
          <w:rFonts w:ascii="Arial" w:hAnsi="Arial" w:cs="Arial"/>
        </w:rPr>
      </w:pPr>
    </w:p>
    <w:p w:rsidR="00920706" w:rsidRPr="00C57541" w:rsidRDefault="00920706" w:rsidP="009C5E24">
      <w:pPr>
        <w:spacing w:after="0" w:line="360" w:lineRule="auto"/>
        <w:ind w:firstLine="720"/>
        <w:rPr>
          <w:rFonts w:ascii="Arial" w:hAnsi="Arial" w:cs="Arial"/>
          <w:sz w:val="24"/>
          <w:szCs w:val="24"/>
        </w:rPr>
      </w:pPr>
      <w:r w:rsidRPr="00F00987">
        <w:rPr>
          <w:rFonts w:ascii="Arial" w:hAnsi="Arial" w:cs="Arial"/>
          <w:sz w:val="24"/>
          <w:szCs w:val="24"/>
        </w:rPr>
        <w:t>Act 129 of 2008 (Act 129) was signed into law on October 15, 2008</w:t>
      </w:r>
      <w:r w:rsidR="003D7F9F">
        <w:rPr>
          <w:rFonts w:ascii="Arial" w:hAnsi="Arial" w:cs="Arial"/>
          <w:sz w:val="24"/>
          <w:szCs w:val="24"/>
        </w:rPr>
        <w:t>,</w:t>
      </w:r>
      <w:r w:rsidRPr="00F00987">
        <w:rPr>
          <w:rFonts w:ascii="Arial" w:hAnsi="Arial" w:cs="Arial"/>
          <w:sz w:val="24"/>
          <w:szCs w:val="24"/>
        </w:rPr>
        <w:t xml:space="preserve"> setting forth goals for reducing energy consumption and demand.  Among other things, Act 129 amended the Public Utility Code to require the implementation of Energy Efficiency and </w:t>
      </w:r>
      <w:r w:rsidRPr="00C57541">
        <w:rPr>
          <w:rFonts w:ascii="Arial" w:hAnsi="Arial" w:cs="Arial"/>
          <w:sz w:val="24"/>
          <w:szCs w:val="24"/>
        </w:rPr>
        <w:t xml:space="preserve">Conservation (EE&amp;C) </w:t>
      </w:r>
      <w:r w:rsidR="00286093">
        <w:rPr>
          <w:rFonts w:ascii="Arial" w:hAnsi="Arial" w:cs="Arial"/>
          <w:sz w:val="24"/>
          <w:szCs w:val="24"/>
        </w:rPr>
        <w:t>p</w:t>
      </w:r>
      <w:r w:rsidRPr="00C57541">
        <w:rPr>
          <w:rFonts w:ascii="Arial" w:hAnsi="Arial" w:cs="Arial"/>
          <w:sz w:val="24"/>
          <w:szCs w:val="24"/>
        </w:rPr>
        <w:t xml:space="preserve">lans by affected electric distribution companies (EDCs), after review and approval by the Public Utility Commission (Commission). </w:t>
      </w:r>
    </w:p>
    <w:p w:rsidR="00A730F5" w:rsidRPr="00C57541" w:rsidRDefault="00A730F5" w:rsidP="009C5E24">
      <w:pPr>
        <w:spacing w:after="0" w:line="360" w:lineRule="auto"/>
        <w:ind w:firstLine="720"/>
        <w:rPr>
          <w:rFonts w:ascii="Arial" w:hAnsi="Arial" w:cs="Arial"/>
          <w:sz w:val="24"/>
          <w:szCs w:val="24"/>
        </w:rPr>
      </w:pPr>
    </w:p>
    <w:p w:rsidR="00920706" w:rsidRPr="005A3B9B" w:rsidRDefault="00A730F5" w:rsidP="009C5E24">
      <w:pPr>
        <w:spacing w:after="0" w:line="360" w:lineRule="auto"/>
        <w:ind w:firstLine="720"/>
        <w:rPr>
          <w:rFonts w:ascii="Arial" w:hAnsi="Arial" w:cs="Arial"/>
          <w:sz w:val="24"/>
          <w:szCs w:val="24"/>
        </w:rPr>
      </w:pPr>
      <w:r w:rsidRPr="00C57541">
        <w:rPr>
          <w:rFonts w:ascii="Arial" w:hAnsi="Arial" w:cs="Arial"/>
          <w:sz w:val="24"/>
          <w:szCs w:val="24"/>
        </w:rPr>
        <w:t>The Fuel Switching Working Group</w:t>
      </w:r>
      <w:r w:rsidR="00EC4AC6">
        <w:rPr>
          <w:rFonts w:ascii="Arial" w:hAnsi="Arial" w:cs="Arial"/>
          <w:sz w:val="24"/>
          <w:szCs w:val="24"/>
        </w:rPr>
        <w:t xml:space="preserve"> (FSWG or Working Group)</w:t>
      </w:r>
      <w:r w:rsidRPr="00C57541">
        <w:rPr>
          <w:rFonts w:ascii="Arial" w:hAnsi="Arial" w:cs="Arial"/>
          <w:sz w:val="24"/>
          <w:szCs w:val="24"/>
        </w:rPr>
        <w:t xml:space="preserve"> was initiated by the Commission in June 2009 in the </w:t>
      </w:r>
      <w:r w:rsidR="00913E50" w:rsidRPr="00111ED7">
        <w:rPr>
          <w:rFonts w:ascii="Arial" w:hAnsi="Arial" w:cs="Arial"/>
          <w:i/>
          <w:sz w:val="24"/>
          <w:szCs w:val="24"/>
        </w:rPr>
        <w:t>Implementation of the Alternative Energy Portfolio Standards Act of 2004:  Standards for the Participation of Demand Side Management Resources</w:t>
      </w:r>
      <w:r w:rsidR="00111ED7" w:rsidRPr="00111ED7">
        <w:rPr>
          <w:rFonts w:ascii="Arial" w:hAnsi="Arial" w:cs="Arial"/>
          <w:i/>
          <w:sz w:val="24"/>
          <w:szCs w:val="24"/>
        </w:rPr>
        <w:t xml:space="preserve"> – Technical </w:t>
      </w:r>
      <w:r w:rsidRPr="00111ED7">
        <w:rPr>
          <w:rFonts w:ascii="Arial" w:hAnsi="Arial" w:cs="Arial"/>
          <w:i/>
          <w:sz w:val="24"/>
          <w:szCs w:val="24"/>
        </w:rPr>
        <w:t>Reference Manual</w:t>
      </w:r>
      <w:r w:rsidRPr="00844B9E">
        <w:rPr>
          <w:rFonts w:ascii="Arial" w:hAnsi="Arial" w:cs="Arial"/>
          <w:sz w:val="24"/>
          <w:szCs w:val="24"/>
        </w:rPr>
        <w:t xml:space="preserve"> </w:t>
      </w:r>
      <w:r w:rsidR="00913E50">
        <w:rPr>
          <w:rFonts w:ascii="Arial" w:hAnsi="Arial" w:cs="Arial"/>
          <w:sz w:val="24"/>
          <w:szCs w:val="24"/>
        </w:rPr>
        <w:t xml:space="preserve">(TRM) </w:t>
      </w:r>
      <w:r w:rsidRPr="00844B9E">
        <w:rPr>
          <w:rFonts w:ascii="Arial" w:hAnsi="Arial" w:cs="Arial"/>
          <w:sz w:val="24"/>
          <w:szCs w:val="24"/>
        </w:rPr>
        <w:t>proceeding at Docket No. M</w:t>
      </w:r>
      <w:r w:rsidR="00111ED7">
        <w:rPr>
          <w:rFonts w:ascii="Arial" w:hAnsi="Arial" w:cs="Arial"/>
          <w:sz w:val="24"/>
          <w:szCs w:val="24"/>
        </w:rPr>
        <w:noBreakHyphen/>
      </w:r>
      <w:r w:rsidRPr="00844B9E">
        <w:rPr>
          <w:rFonts w:ascii="Arial" w:hAnsi="Arial" w:cs="Arial"/>
          <w:sz w:val="24"/>
          <w:szCs w:val="24"/>
        </w:rPr>
        <w:t>00051856.  The initial charge of the Working Group was to identify</w:t>
      </w:r>
      <w:r w:rsidR="00EC4AC6">
        <w:rPr>
          <w:rFonts w:ascii="Arial" w:hAnsi="Arial" w:cs="Arial"/>
          <w:sz w:val="24"/>
          <w:szCs w:val="24"/>
        </w:rPr>
        <w:t>,</w:t>
      </w:r>
      <w:r w:rsidRPr="00844B9E">
        <w:rPr>
          <w:rFonts w:ascii="Arial" w:hAnsi="Arial" w:cs="Arial"/>
          <w:sz w:val="24"/>
          <w:szCs w:val="24"/>
        </w:rPr>
        <w:t xml:space="preserve"> research and address </w:t>
      </w:r>
      <w:r w:rsidRPr="005A3B9B">
        <w:rPr>
          <w:rFonts w:ascii="Arial" w:hAnsi="Arial" w:cs="Arial"/>
          <w:sz w:val="24"/>
          <w:szCs w:val="24"/>
        </w:rPr>
        <w:t xml:space="preserve">issues related to fuel switching with the possibility of </w:t>
      </w:r>
      <w:r w:rsidR="003D7F9F">
        <w:rPr>
          <w:rFonts w:ascii="Arial" w:hAnsi="Arial" w:cs="Arial"/>
          <w:sz w:val="24"/>
          <w:szCs w:val="24"/>
        </w:rPr>
        <w:t>the</w:t>
      </w:r>
      <w:r w:rsidRPr="005A3B9B">
        <w:rPr>
          <w:rFonts w:ascii="Arial" w:hAnsi="Arial" w:cs="Arial"/>
          <w:sz w:val="24"/>
          <w:szCs w:val="24"/>
        </w:rPr>
        <w:t xml:space="preserve"> inclusion </w:t>
      </w:r>
      <w:r w:rsidR="003D7F9F">
        <w:rPr>
          <w:rFonts w:ascii="Arial" w:hAnsi="Arial" w:cs="Arial"/>
          <w:sz w:val="24"/>
          <w:szCs w:val="24"/>
        </w:rPr>
        <w:t xml:space="preserve">of fuel </w:t>
      </w:r>
      <w:r w:rsidR="00AC7147">
        <w:rPr>
          <w:rFonts w:ascii="Arial" w:hAnsi="Arial" w:cs="Arial"/>
          <w:sz w:val="24"/>
          <w:szCs w:val="24"/>
        </w:rPr>
        <w:t xml:space="preserve">switching related deemed energy savings </w:t>
      </w:r>
      <w:r w:rsidRPr="005A3B9B">
        <w:rPr>
          <w:rFonts w:ascii="Arial" w:hAnsi="Arial" w:cs="Arial"/>
          <w:sz w:val="24"/>
          <w:szCs w:val="24"/>
        </w:rPr>
        <w:t xml:space="preserve">in future versions of the TRM.  </w:t>
      </w:r>
      <w:r w:rsidR="00844B9E" w:rsidRPr="005A3B9B">
        <w:rPr>
          <w:rFonts w:ascii="Arial" w:hAnsi="Arial" w:cs="Arial"/>
          <w:sz w:val="24"/>
          <w:szCs w:val="24"/>
        </w:rPr>
        <w:t>In its Orders</w:t>
      </w:r>
      <w:r w:rsidR="00844B9E" w:rsidRPr="005A3B9B">
        <w:rPr>
          <w:rStyle w:val="FootnoteReference"/>
          <w:rFonts w:ascii="Arial" w:hAnsi="Arial" w:cs="Arial"/>
          <w:sz w:val="24"/>
          <w:szCs w:val="24"/>
        </w:rPr>
        <w:footnoteReference w:id="1"/>
      </w:r>
      <w:r w:rsidR="00844B9E" w:rsidRPr="005A3B9B">
        <w:rPr>
          <w:rFonts w:ascii="Arial" w:hAnsi="Arial" w:cs="Arial"/>
          <w:sz w:val="24"/>
          <w:szCs w:val="24"/>
        </w:rPr>
        <w:t xml:space="preserve"> </w:t>
      </w:r>
      <w:r w:rsidR="00AC7147">
        <w:rPr>
          <w:rFonts w:ascii="Arial" w:hAnsi="Arial" w:cs="Arial"/>
          <w:sz w:val="24"/>
          <w:szCs w:val="24"/>
        </w:rPr>
        <w:t>ruling on</w:t>
      </w:r>
      <w:r w:rsidR="00844B9E" w:rsidRPr="005A3B9B">
        <w:rPr>
          <w:rFonts w:ascii="Arial" w:hAnsi="Arial" w:cs="Arial"/>
          <w:sz w:val="24"/>
          <w:szCs w:val="24"/>
        </w:rPr>
        <w:t xml:space="preserve"> the EDCs’ EE&amp;C </w:t>
      </w:r>
      <w:r w:rsidR="00286093">
        <w:rPr>
          <w:rFonts w:ascii="Arial" w:hAnsi="Arial" w:cs="Arial"/>
          <w:sz w:val="24"/>
          <w:szCs w:val="24"/>
        </w:rPr>
        <w:t>p</w:t>
      </w:r>
      <w:r w:rsidR="00844B9E" w:rsidRPr="005A3B9B">
        <w:rPr>
          <w:rFonts w:ascii="Arial" w:hAnsi="Arial" w:cs="Arial"/>
          <w:sz w:val="24"/>
          <w:szCs w:val="24"/>
        </w:rPr>
        <w:t>lans, the Commission directed the FSWG to provide recommendations</w:t>
      </w:r>
      <w:r w:rsidR="00E40716">
        <w:rPr>
          <w:rFonts w:ascii="Arial" w:hAnsi="Arial" w:cs="Arial"/>
          <w:sz w:val="24"/>
          <w:szCs w:val="24"/>
        </w:rPr>
        <w:t xml:space="preserve"> by March 31, 2010</w:t>
      </w:r>
      <w:r w:rsidR="00844B9E" w:rsidRPr="005A3B9B">
        <w:rPr>
          <w:rFonts w:ascii="Arial" w:hAnsi="Arial" w:cs="Arial"/>
          <w:sz w:val="24"/>
          <w:szCs w:val="24"/>
        </w:rPr>
        <w:t xml:space="preserve"> </w:t>
      </w:r>
      <w:r w:rsidR="00EC4AC6" w:rsidRPr="005A3B9B">
        <w:rPr>
          <w:rFonts w:ascii="Arial" w:hAnsi="Arial" w:cs="Arial"/>
          <w:sz w:val="24"/>
          <w:szCs w:val="24"/>
        </w:rPr>
        <w:t xml:space="preserve">on </w:t>
      </w:r>
      <w:r w:rsidR="00844B9E" w:rsidRPr="005A3B9B">
        <w:rPr>
          <w:rFonts w:ascii="Arial" w:hAnsi="Arial" w:cs="Arial"/>
          <w:sz w:val="24"/>
          <w:szCs w:val="24"/>
        </w:rPr>
        <w:t xml:space="preserve">whether changes to the TRM or Total Resource Cost </w:t>
      </w:r>
      <w:r w:rsidR="009A5C33">
        <w:rPr>
          <w:rFonts w:ascii="Arial" w:hAnsi="Arial" w:cs="Arial"/>
          <w:sz w:val="24"/>
          <w:szCs w:val="24"/>
        </w:rPr>
        <w:t>t</w:t>
      </w:r>
      <w:r w:rsidR="00844B9E" w:rsidRPr="005A3B9B">
        <w:rPr>
          <w:rFonts w:ascii="Arial" w:hAnsi="Arial" w:cs="Arial"/>
          <w:sz w:val="24"/>
          <w:szCs w:val="24"/>
        </w:rPr>
        <w:t xml:space="preserve">est </w:t>
      </w:r>
      <w:r w:rsidR="00111ED7">
        <w:rPr>
          <w:rFonts w:ascii="Arial" w:hAnsi="Arial" w:cs="Arial"/>
          <w:sz w:val="24"/>
          <w:szCs w:val="24"/>
        </w:rPr>
        <w:t xml:space="preserve">(TRC </w:t>
      </w:r>
      <w:r w:rsidR="009A5C33">
        <w:rPr>
          <w:rFonts w:ascii="Arial" w:hAnsi="Arial" w:cs="Arial"/>
          <w:sz w:val="24"/>
          <w:szCs w:val="24"/>
        </w:rPr>
        <w:t>t</w:t>
      </w:r>
      <w:r w:rsidR="00111ED7">
        <w:rPr>
          <w:rFonts w:ascii="Arial" w:hAnsi="Arial" w:cs="Arial"/>
          <w:sz w:val="24"/>
          <w:szCs w:val="24"/>
        </w:rPr>
        <w:t xml:space="preserve">est) </w:t>
      </w:r>
      <w:r w:rsidR="00844B9E" w:rsidRPr="005A3B9B">
        <w:rPr>
          <w:rFonts w:ascii="Arial" w:hAnsi="Arial" w:cs="Arial"/>
          <w:sz w:val="24"/>
          <w:szCs w:val="24"/>
        </w:rPr>
        <w:t>are justified.</w:t>
      </w:r>
      <w:r w:rsidR="00F31965">
        <w:rPr>
          <w:rFonts w:ascii="Arial" w:hAnsi="Arial" w:cs="Arial"/>
          <w:sz w:val="24"/>
          <w:szCs w:val="24"/>
        </w:rPr>
        <w:t xml:space="preserve">  </w:t>
      </w:r>
      <w:r w:rsidR="00920706" w:rsidRPr="005A3B9B">
        <w:rPr>
          <w:rFonts w:ascii="Arial" w:hAnsi="Arial" w:cs="Arial"/>
          <w:sz w:val="24"/>
          <w:szCs w:val="24"/>
        </w:rPr>
        <w:t xml:space="preserve">The Commission </w:t>
      </w:r>
      <w:r w:rsidR="00E40716">
        <w:rPr>
          <w:rFonts w:ascii="Arial" w:hAnsi="Arial" w:cs="Arial"/>
          <w:sz w:val="24"/>
          <w:szCs w:val="24"/>
        </w:rPr>
        <w:t xml:space="preserve">subsequently </w:t>
      </w:r>
      <w:r w:rsidR="00920706" w:rsidRPr="005A3B9B">
        <w:rPr>
          <w:rFonts w:ascii="Arial" w:hAnsi="Arial" w:cs="Arial"/>
          <w:sz w:val="24"/>
          <w:szCs w:val="24"/>
        </w:rPr>
        <w:t xml:space="preserve">extended this due date to </w:t>
      </w:r>
      <w:r w:rsidR="00EC4AC6" w:rsidRPr="005A3B9B">
        <w:rPr>
          <w:rFonts w:ascii="Arial" w:hAnsi="Arial" w:cs="Arial"/>
          <w:sz w:val="24"/>
          <w:szCs w:val="24"/>
        </w:rPr>
        <w:t>April 30</w:t>
      </w:r>
      <w:r w:rsidR="00920706" w:rsidRPr="005A3B9B">
        <w:rPr>
          <w:rFonts w:ascii="Arial" w:hAnsi="Arial" w:cs="Arial"/>
          <w:sz w:val="24"/>
          <w:szCs w:val="24"/>
        </w:rPr>
        <w:t xml:space="preserve">, 2010.  </w:t>
      </w:r>
    </w:p>
    <w:p w:rsidR="00A730F5" w:rsidRDefault="00A730F5" w:rsidP="009C5E24">
      <w:pPr>
        <w:spacing w:after="0" w:line="360" w:lineRule="auto"/>
        <w:ind w:firstLine="720"/>
        <w:rPr>
          <w:rFonts w:ascii="Arial" w:hAnsi="Arial" w:cs="Arial"/>
          <w:color w:val="1F497D"/>
          <w:sz w:val="24"/>
          <w:szCs w:val="24"/>
        </w:rPr>
      </w:pPr>
    </w:p>
    <w:p w:rsidR="00920706" w:rsidRPr="00F00987" w:rsidRDefault="00920706" w:rsidP="00B40C24">
      <w:pPr>
        <w:pStyle w:val="Heading1"/>
        <w:rPr>
          <w:rFonts w:ascii="Arial" w:hAnsi="Arial" w:cs="Arial"/>
        </w:rPr>
      </w:pPr>
      <w:bookmarkStart w:id="1" w:name="_Toc253144699"/>
      <w:bookmarkStart w:id="2" w:name="_Toc260316368"/>
      <w:r w:rsidRPr="00F00987">
        <w:rPr>
          <w:rFonts w:ascii="Arial" w:hAnsi="Arial" w:cs="Arial"/>
        </w:rPr>
        <w:lastRenderedPageBreak/>
        <w:t>Working Group Members</w:t>
      </w:r>
      <w:bookmarkEnd w:id="1"/>
      <w:r w:rsidRPr="00F00987">
        <w:rPr>
          <w:rFonts w:ascii="Arial" w:hAnsi="Arial" w:cs="Arial"/>
        </w:rPr>
        <w:t xml:space="preserve"> and Meetings</w:t>
      </w:r>
      <w:bookmarkEnd w:id="2"/>
    </w:p>
    <w:p w:rsidR="00920706" w:rsidRPr="009C5E24" w:rsidRDefault="00920706" w:rsidP="00920706">
      <w:pPr>
        <w:spacing w:after="0" w:line="360" w:lineRule="auto"/>
        <w:rPr>
          <w:rFonts w:ascii="Arial" w:hAnsi="Arial" w:cs="Arial"/>
          <w:sz w:val="24"/>
          <w:szCs w:val="24"/>
        </w:rPr>
      </w:pPr>
    </w:p>
    <w:p w:rsidR="00DE0D35" w:rsidRDefault="00920706" w:rsidP="001727B3">
      <w:pPr>
        <w:spacing w:after="0" w:line="360" w:lineRule="auto"/>
        <w:rPr>
          <w:rFonts w:ascii="Arial" w:hAnsi="Arial" w:cs="Arial"/>
          <w:sz w:val="24"/>
          <w:szCs w:val="24"/>
        </w:rPr>
      </w:pPr>
      <w:r w:rsidRPr="009C5E24">
        <w:rPr>
          <w:rFonts w:ascii="Arial" w:hAnsi="Arial" w:cs="Arial"/>
          <w:sz w:val="24"/>
          <w:szCs w:val="24"/>
        </w:rPr>
        <w:tab/>
      </w:r>
      <w:r w:rsidR="003E796E">
        <w:rPr>
          <w:rFonts w:ascii="Arial" w:hAnsi="Arial" w:cs="Arial"/>
          <w:sz w:val="24"/>
          <w:szCs w:val="24"/>
        </w:rPr>
        <w:t>The Commission issued a</w:t>
      </w:r>
      <w:r w:rsidR="003921B8" w:rsidRPr="001727B3">
        <w:rPr>
          <w:rFonts w:ascii="Arial" w:hAnsi="Arial" w:cs="Arial"/>
          <w:sz w:val="24"/>
          <w:szCs w:val="24"/>
        </w:rPr>
        <w:t xml:space="preserve"> </w:t>
      </w:r>
      <w:hyperlink r:id="rId10" w:history="1">
        <w:r w:rsidR="003921B8" w:rsidRPr="001727B3">
          <w:rPr>
            <w:rStyle w:val="Hyperlink"/>
            <w:rFonts w:ascii="Arial" w:hAnsi="Arial" w:cs="Arial"/>
            <w:color w:val="auto"/>
            <w:sz w:val="24"/>
            <w:szCs w:val="24"/>
            <w:u w:val="none"/>
          </w:rPr>
          <w:t>Secretarial Letter</w:t>
        </w:r>
      </w:hyperlink>
      <w:r w:rsidR="003921B8" w:rsidRPr="001727B3">
        <w:rPr>
          <w:rFonts w:ascii="Arial" w:hAnsi="Arial" w:cs="Arial"/>
          <w:sz w:val="24"/>
          <w:szCs w:val="24"/>
        </w:rPr>
        <w:t xml:space="preserve"> </w:t>
      </w:r>
      <w:r w:rsidR="009C67F5">
        <w:rPr>
          <w:rFonts w:ascii="Arial" w:hAnsi="Arial" w:cs="Arial"/>
          <w:sz w:val="24"/>
          <w:szCs w:val="24"/>
        </w:rPr>
        <w:t xml:space="preserve">on December 10, 2010, </w:t>
      </w:r>
      <w:r w:rsidR="001727B3">
        <w:rPr>
          <w:rFonts w:ascii="Arial" w:hAnsi="Arial" w:cs="Arial"/>
          <w:sz w:val="24"/>
          <w:szCs w:val="24"/>
        </w:rPr>
        <w:t xml:space="preserve">setting an initial Working Group meeting for January 6, 2010, and </w:t>
      </w:r>
      <w:r w:rsidR="0003431C">
        <w:rPr>
          <w:rFonts w:ascii="Arial" w:hAnsi="Arial" w:cs="Arial"/>
          <w:sz w:val="24"/>
          <w:szCs w:val="24"/>
        </w:rPr>
        <w:t>setting forth</w:t>
      </w:r>
      <w:r w:rsidR="003921B8" w:rsidRPr="001727B3">
        <w:rPr>
          <w:rFonts w:ascii="Arial" w:hAnsi="Arial" w:cs="Arial"/>
          <w:sz w:val="24"/>
          <w:szCs w:val="24"/>
        </w:rPr>
        <w:t xml:space="preserve"> questions for the Working Group to address.</w:t>
      </w:r>
      <w:r w:rsidR="00C82C5E" w:rsidRPr="001727B3">
        <w:rPr>
          <w:rFonts w:ascii="Arial" w:hAnsi="Arial" w:cs="Arial"/>
          <w:sz w:val="24"/>
          <w:szCs w:val="24"/>
        </w:rPr>
        <w:t xml:space="preserve">  </w:t>
      </w:r>
      <w:r w:rsidR="003921B8" w:rsidRPr="001727B3">
        <w:rPr>
          <w:rFonts w:ascii="Arial" w:hAnsi="Arial" w:cs="Arial"/>
          <w:sz w:val="24"/>
          <w:szCs w:val="24"/>
        </w:rPr>
        <w:t>The Working Group met on Jan</w:t>
      </w:r>
      <w:r w:rsidR="0044569E" w:rsidRPr="001727B3">
        <w:rPr>
          <w:rFonts w:ascii="Arial" w:hAnsi="Arial" w:cs="Arial"/>
          <w:sz w:val="24"/>
          <w:szCs w:val="24"/>
        </w:rPr>
        <w:t>uary</w:t>
      </w:r>
      <w:r w:rsidR="003921B8" w:rsidRPr="001727B3">
        <w:rPr>
          <w:rFonts w:ascii="Arial" w:hAnsi="Arial" w:cs="Arial"/>
          <w:sz w:val="24"/>
          <w:szCs w:val="24"/>
        </w:rPr>
        <w:t xml:space="preserve"> 6, 2010</w:t>
      </w:r>
      <w:r w:rsidR="0003431C">
        <w:rPr>
          <w:rFonts w:ascii="Arial" w:hAnsi="Arial" w:cs="Arial"/>
          <w:sz w:val="24"/>
          <w:szCs w:val="24"/>
        </w:rPr>
        <w:t>,</w:t>
      </w:r>
      <w:r w:rsidR="003921B8" w:rsidRPr="001727B3">
        <w:rPr>
          <w:rFonts w:ascii="Arial" w:hAnsi="Arial" w:cs="Arial"/>
          <w:sz w:val="24"/>
          <w:szCs w:val="24"/>
        </w:rPr>
        <w:t xml:space="preserve"> to discuss </w:t>
      </w:r>
      <w:r w:rsidR="0044569E" w:rsidRPr="001727B3">
        <w:rPr>
          <w:rFonts w:ascii="Arial" w:hAnsi="Arial" w:cs="Arial"/>
          <w:sz w:val="24"/>
          <w:szCs w:val="24"/>
        </w:rPr>
        <w:t>the mission of the Working Group</w:t>
      </w:r>
      <w:r w:rsidR="009C67F5">
        <w:rPr>
          <w:rFonts w:ascii="Arial" w:hAnsi="Arial" w:cs="Arial"/>
          <w:sz w:val="24"/>
          <w:szCs w:val="24"/>
        </w:rPr>
        <w:t>,</w:t>
      </w:r>
      <w:r w:rsidR="0044569E" w:rsidRPr="001727B3">
        <w:rPr>
          <w:rFonts w:ascii="Arial" w:hAnsi="Arial" w:cs="Arial"/>
          <w:sz w:val="24"/>
          <w:szCs w:val="24"/>
        </w:rPr>
        <w:t xml:space="preserve"> </w:t>
      </w:r>
      <w:r w:rsidR="003921B8" w:rsidRPr="001727B3">
        <w:rPr>
          <w:rFonts w:ascii="Arial" w:hAnsi="Arial" w:cs="Arial"/>
          <w:sz w:val="24"/>
          <w:szCs w:val="24"/>
        </w:rPr>
        <w:t xml:space="preserve">the </w:t>
      </w:r>
      <w:r w:rsidR="00C82C5E" w:rsidRPr="001727B3">
        <w:rPr>
          <w:rFonts w:ascii="Arial" w:hAnsi="Arial" w:cs="Arial"/>
          <w:sz w:val="24"/>
          <w:szCs w:val="24"/>
        </w:rPr>
        <w:t>questions</w:t>
      </w:r>
      <w:r w:rsidR="0044569E" w:rsidRPr="001727B3">
        <w:rPr>
          <w:rFonts w:ascii="Arial" w:hAnsi="Arial" w:cs="Arial"/>
          <w:sz w:val="24"/>
          <w:szCs w:val="24"/>
        </w:rPr>
        <w:t xml:space="preserve"> </w:t>
      </w:r>
      <w:r w:rsidR="009C67F5">
        <w:rPr>
          <w:rFonts w:ascii="Arial" w:hAnsi="Arial" w:cs="Arial"/>
          <w:sz w:val="24"/>
          <w:szCs w:val="24"/>
        </w:rPr>
        <w:t>attach</w:t>
      </w:r>
      <w:r w:rsidR="0044569E" w:rsidRPr="001727B3">
        <w:rPr>
          <w:rFonts w:ascii="Arial" w:hAnsi="Arial" w:cs="Arial"/>
          <w:sz w:val="24"/>
          <w:szCs w:val="24"/>
        </w:rPr>
        <w:t xml:space="preserve">ed </w:t>
      </w:r>
      <w:r w:rsidR="009C67F5">
        <w:rPr>
          <w:rFonts w:ascii="Arial" w:hAnsi="Arial" w:cs="Arial"/>
          <w:sz w:val="24"/>
          <w:szCs w:val="24"/>
        </w:rPr>
        <w:t>to</w:t>
      </w:r>
      <w:r w:rsidR="0044569E" w:rsidRPr="001727B3">
        <w:rPr>
          <w:rFonts w:ascii="Arial" w:hAnsi="Arial" w:cs="Arial"/>
          <w:sz w:val="24"/>
          <w:szCs w:val="24"/>
        </w:rPr>
        <w:t xml:space="preserve"> the Secretarial Letter</w:t>
      </w:r>
      <w:r w:rsidR="009C67F5">
        <w:rPr>
          <w:rFonts w:ascii="Arial" w:hAnsi="Arial" w:cs="Arial"/>
          <w:sz w:val="24"/>
          <w:szCs w:val="24"/>
        </w:rPr>
        <w:t xml:space="preserve"> and other related topics raised by participants</w:t>
      </w:r>
      <w:r w:rsidR="003921B8" w:rsidRPr="001727B3">
        <w:rPr>
          <w:rFonts w:ascii="Arial" w:hAnsi="Arial" w:cs="Arial"/>
          <w:sz w:val="24"/>
          <w:szCs w:val="24"/>
        </w:rPr>
        <w:t>.</w:t>
      </w:r>
      <w:r w:rsidR="002420F0" w:rsidRPr="001727B3">
        <w:rPr>
          <w:rFonts w:ascii="Arial" w:hAnsi="Arial" w:cs="Arial"/>
          <w:sz w:val="24"/>
          <w:szCs w:val="24"/>
        </w:rPr>
        <w:t xml:space="preserve">  </w:t>
      </w:r>
      <w:r w:rsidR="009C67F5">
        <w:rPr>
          <w:rFonts w:ascii="Arial" w:hAnsi="Arial" w:cs="Arial"/>
          <w:sz w:val="24"/>
          <w:szCs w:val="24"/>
        </w:rPr>
        <w:t>Participants at the January 6, 2010 meeting</w:t>
      </w:r>
      <w:r w:rsidR="0003431C">
        <w:rPr>
          <w:rFonts w:ascii="Arial" w:hAnsi="Arial" w:cs="Arial"/>
          <w:sz w:val="24"/>
          <w:szCs w:val="24"/>
        </w:rPr>
        <w:t>,</w:t>
      </w:r>
      <w:r w:rsidR="009C67F5">
        <w:rPr>
          <w:rFonts w:ascii="Arial" w:hAnsi="Arial" w:cs="Arial"/>
          <w:sz w:val="24"/>
          <w:szCs w:val="24"/>
        </w:rPr>
        <w:t xml:space="preserve"> included representa</w:t>
      </w:r>
      <w:r w:rsidR="00E273EC">
        <w:rPr>
          <w:rFonts w:ascii="Arial" w:hAnsi="Arial" w:cs="Arial"/>
          <w:sz w:val="24"/>
          <w:szCs w:val="24"/>
        </w:rPr>
        <w:t>tives from EDCs, natural gas distribution companies</w:t>
      </w:r>
      <w:r w:rsidR="00162E45">
        <w:rPr>
          <w:rFonts w:ascii="Arial" w:hAnsi="Arial" w:cs="Arial"/>
          <w:sz w:val="24"/>
          <w:szCs w:val="24"/>
        </w:rPr>
        <w:t xml:space="preserve"> (NGDCs)</w:t>
      </w:r>
      <w:r w:rsidR="00E273EC">
        <w:rPr>
          <w:rFonts w:ascii="Arial" w:hAnsi="Arial" w:cs="Arial"/>
          <w:sz w:val="24"/>
          <w:szCs w:val="24"/>
        </w:rPr>
        <w:t>, industry trade association</w:t>
      </w:r>
      <w:r w:rsidR="00162E45">
        <w:rPr>
          <w:rFonts w:ascii="Arial" w:hAnsi="Arial" w:cs="Arial"/>
          <w:sz w:val="24"/>
          <w:szCs w:val="24"/>
        </w:rPr>
        <w:t>s</w:t>
      </w:r>
      <w:r w:rsidR="00E273EC">
        <w:rPr>
          <w:rFonts w:ascii="Arial" w:hAnsi="Arial" w:cs="Arial"/>
          <w:sz w:val="24"/>
          <w:szCs w:val="24"/>
        </w:rPr>
        <w:t xml:space="preserve">, consumer advocacy groups, the statutory advocates and Commission staff.  </w:t>
      </w:r>
      <w:r w:rsidR="002420F0" w:rsidRPr="001727B3">
        <w:rPr>
          <w:rFonts w:ascii="Arial" w:hAnsi="Arial" w:cs="Arial"/>
          <w:sz w:val="24"/>
          <w:szCs w:val="24"/>
        </w:rPr>
        <w:t>At this meeting, the Working Group formed a subcommitte</w:t>
      </w:r>
      <w:r w:rsidR="00410438" w:rsidRPr="001727B3">
        <w:rPr>
          <w:rFonts w:ascii="Arial" w:hAnsi="Arial" w:cs="Arial"/>
          <w:sz w:val="24"/>
          <w:szCs w:val="24"/>
        </w:rPr>
        <w:t>e comprised of representatives of UGI</w:t>
      </w:r>
      <w:r w:rsidR="00E273EC">
        <w:rPr>
          <w:rFonts w:ascii="Arial" w:hAnsi="Arial" w:cs="Arial"/>
          <w:sz w:val="24"/>
          <w:szCs w:val="24"/>
        </w:rPr>
        <w:t xml:space="preserve"> </w:t>
      </w:r>
      <w:r w:rsidR="00E273EC" w:rsidRPr="009C5E24">
        <w:rPr>
          <w:rFonts w:ascii="Arial" w:hAnsi="Arial" w:cs="Arial"/>
          <w:sz w:val="24"/>
          <w:szCs w:val="24"/>
        </w:rPr>
        <w:t>Distribution Companies (UGI)</w:t>
      </w:r>
      <w:r w:rsidR="00410438" w:rsidRPr="001727B3">
        <w:rPr>
          <w:rFonts w:ascii="Arial" w:hAnsi="Arial" w:cs="Arial"/>
          <w:sz w:val="24"/>
          <w:szCs w:val="24"/>
        </w:rPr>
        <w:t xml:space="preserve">, </w:t>
      </w:r>
      <w:r w:rsidR="00E273EC" w:rsidRPr="009C5E24">
        <w:rPr>
          <w:rFonts w:ascii="Arial" w:hAnsi="Arial" w:cs="Arial"/>
          <w:sz w:val="24"/>
          <w:szCs w:val="24"/>
        </w:rPr>
        <w:t>E Cubed Company, LLC</w:t>
      </w:r>
      <w:r w:rsidR="00E273EC">
        <w:rPr>
          <w:rFonts w:ascii="Arial" w:hAnsi="Arial" w:cs="Arial"/>
          <w:sz w:val="24"/>
          <w:szCs w:val="24"/>
        </w:rPr>
        <w:t xml:space="preserve"> (E Cubed)</w:t>
      </w:r>
      <w:r w:rsidR="00410438" w:rsidRPr="001727B3">
        <w:rPr>
          <w:rFonts w:ascii="Arial" w:hAnsi="Arial" w:cs="Arial"/>
          <w:sz w:val="24"/>
          <w:szCs w:val="24"/>
        </w:rPr>
        <w:t xml:space="preserve"> and </w:t>
      </w:r>
      <w:r w:rsidR="00E273EC">
        <w:rPr>
          <w:rFonts w:ascii="Arial" w:hAnsi="Arial" w:cs="Arial"/>
          <w:sz w:val="24"/>
          <w:szCs w:val="24"/>
        </w:rPr>
        <w:t xml:space="preserve">the </w:t>
      </w:r>
      <w:r w:rsidR="00E273EC" w:rsidRPr="009C5E24">
        <w:rPr>
          <w:rFonts w:ascii="Arial" w:hAnsi="Arial" w:cs="Arial"/>
          <w:sz w:val="24"/>
          <w:szCs w:val="24"/>
        </w:rPr>
        <w:t>Sustainable Energy Fund (SEF)</w:t>
      </w:r>
      <w:r w:rsidR="00410438" w:rsidRPr="001727B3">
        <w:rPr>
          <w:rFonts w:ascii="Arial" w:hAnsi="Arial" w:cs="Arial"/>
          <w:sz w:val="24"/>
          <w:szCs w:val="24"/>
        </w:rPr>
        <w:t xml:space="preserve">.  </w:t>
      </w:r>
      <w:bookmarkStart w:id="3" w:name="OLE_LINK1"/>
      <w:bookmarkStart w:id="4" w:name="OLE_LINK2"/>
      <w:r w:rsidR="003E796E">
        <w:rPr>
          <w:rFonts w:ascii="Arial" w:hAnsi="Arial" w:cs="Arial"/>
          <w:sz w:val="24"/>
          <w:szCs w:val="24"/>
        </w:rPr>
        <w:t xml:space="preserve">The Working Group </w:t>
      </w:r>
      <w:r w:rsidR="002420F0" w:rsidRPr="001727B3">
        <w:rPr>
          <w:rFonts w:ascii="Arial" w:hAnsi="Arial" w:cs="Arial"/>
          <w:sz w:val="24"/>
          <w:szCs w:val="24"/>
        </w:rPr>
        <w:t xml:space="preserve">charged </w:t>
      </w:r>
      <w:r w:rsidR="003E796E">
        <w:rPr>
          <w:rFonts w:ascii="Arial" w:hAnsi="Arial" w:cs="Arial"/>
          <w:sz w:val="24"/>
          <w:szCs w:val="24"/>
        </w:rPr>
        <w:t xml:space="preserve">the </w:t>
      </w:r>
      <w:r w:rsidR="003E796E" w:rsidRPr="001727B3">
        <w:rPr>
          <w:rFonts w:ascii="Arial" w:hAnsi="Arial" w:cs="Arial"/>
          <w:sz w:val="24"/>
          <w:szCs w:val="24"/>
        </w:rPr>
        <w:t xml:space="preserve">subcommittee </w:t>
      </w:r>
      <w:r w:rsidR="002420F0" w:rsidRPr="001727B3">
        <w:rPr>
          <w:rFonts w:ascii="Arial" w:hAnsi="Arial" w:cs="Arial"/>
          <w:sz w:val="24"/>
          <w:szCs w:val="24"/>
        </w:rPr>
        <w:t>with providing cost-benefit analyses for various fuel switching programs</w:t>
      </w:r>
      <w:bookmarkEnd w:id="3"/>
      <w:bookmarkEnd w:id="4"/>
      <w:r w:rsidR="002420F0" w:rsidRPr="001727B3">
        <w:rPr>
          <w:rFonts w:ascii="Arial" w:hAnsi="Arial" w:cs="Arial"/>
          <w:sz w:val="24"/>
          <w:szCs w:val="24"/>
        </w:rPr>
        <w:t xml:space="preserve">.  The five specific fuel switching programs analyzed were: water heating; heating and air conditioning; </w:t>
      </w:r>
      <w:r w:rsidR="00B877E6" w:rsidRPr="001727B3">
        <w:rPr>
          <w:rFonts w:ascii="Arial" w:hAnsi="Arial" w:cs="Arial"/>
          <w:sz w:val="24"/>
          <w:szCs w:val="24"/>
        </w:rPr>
        <w:t xml:space="preserve">clothes drying; </w:t>
      </w:r>
      <w:r w:rsidR="002420F0" w:rsidRPr="001727B3">
        <w:rPr>
          <w:rFonts w:ascii="Arial" w:hAnsi="Arial" w:cs="Arial"/>
          <w:sz w:val="24"/>
          <w:szCs w:val="24"/>
        </w:rPr>
        <w:t>combined heat and power</w:t>
      </w:r>
      <w:r w:rsidR="00B877E6" w:rsidRPr="001727B3">
        <w:rPr>
          <w:rFonts w:ascii="Arial" w:hAnsi="Arial" w:cs="Arial"/>
          <w:sz w:val="24"/>
          <w:szCs w:val="24"/>
        </w:rPr>
        <w:t xml:space="preserve"> distributed generation</w:t>
      </w:r>
      <w:r w:rsidR="002420F0" w:rsidRPr="001727B3">
        <w:rPr>
          <w:rFonts w:ascii="Arial" w:hAnsi="Arial" w:cs="Arial"/>
          <w:sz w:val="24"/>
          <w:szCs w:val="24"/>
        </w:rPr>
        <w:t xml:space="preserve">; </w:t>
      </w:r>
      <w:r w:rsidR="00B877E6" w:rsidRPr="001727B3">
        <w:rPr>
          <w:rFonts w:ascii="Arial" w:hAnsi="Arial" w:cs="Arial"/>
          <w:sz w:val="24"/>
          <w:szCs w:val="24"/>
        </w:rPr>
        <w:t xml:space="preserve">and </w:t>
      </w:r>
      <w:r w:rsidR="002420F0" w:rsidRPr="001727B3">
        <w:rPr>
          <w:rFonts w:ascii="Arial" w:hAnsi="Arial" w:cs="Arial"/>
          <w:sz w:val="24"/>
          <w:szCs w:val="24"/>
        </w:rPr>
        <w:t xml:space="preserve">residential micro </w:t>
      </w:r>
      <w:r w:rsidR="00786245" w:rsidRPr="001727B3">
        <w:rPr>
          <w:rFonts w:ascii="Arial" w:hAnsi="Arial" w:cs="Arial"/>
          <w:sz w:val="24"/>
          <w:szCs w:val="24"/>
        </w:rPr>
        <w:t>combined heat and power</w:t>
      </w:r>
      <w:r w:rsidR="002420F0" w:rsidRPr="001727B3">
        <w:rPr>
          <w:rFonts w:ascii="Arial" w:hAnsi="Arial" w:cs="Arial"/>
          <w:sz w:val="24"/>
          <w:szCs w:val="24"/>
        </w:rPr>
        <w:t>.  On January 25, 2010, this subcommittee provided its analyses</w:t>
      </w:r>
      <w:r w:rsidR="00786245" w:rsidRPr="001727B3">
        <w:rPr>
          <w:rFonts w:ascii="Arial" w:hAnsi="Arial" w:cs="Arial"/>
          <w:sz w:val="24"/>
          <w:szCs w:val="24"/>
        </w:rPr>
        <w:t>.</w:t>
      </w:r>
      <w:r w:rsidR="00DE0D35" w:rsidRPr="00DE0D35">
        <w:rPr>
          <w:rFonts w:ascii="Arial" w:hAnsi="Arial" w:cs="Arial"/>
        </w:rPr>
        <w:t xml:space="preserve"> </w:t>
      </w:r>
      <w:r w:rsidR="003E796E">
        <w:rPr>
          <w:rFonts w:ascii="Arial" w:hAnsi="Arial" w:cs="Arial"/>
        </w:rPr>
        <w:t xml:space="preserve"> </w:t>
      </w:r>
      <w:r w:rsidR="00DE0D35" w:rsidRPr="00DE0D35">
        <w:rPr>
          <w:rFonts w:ascii="Arial" w:hAnsi="Arial" w:cs="Arial"/>
          <w:sz w:val="24"/>
          <w:szCs w:val="24"/>
        </w:rPr>
        <w:t>The</w:t>
      </w:r>
      <w:r w:rsidR="00DE0D35">
        <w:rPr>
          <w:rFonts w:ascii="Arial" w:hAnsi="Arial" w:cs="Arial"/>
          <w:sz w:val="24"/>
          <w:szCs w:val="24"/>
        </w:rPr>
        <w:t>se c</w:t>
      </w:r>
      <w:r w:rsidR="00DE0D35" w:rsidRPr="00DE0D35">
        <w:rPr>
          <w:rFonts w:ascii="Arial" w:hAnsi="Arial" w:cs="Arial"/>
          <w:sz w:val="24"/>
          <w:szCs w:val="24"/>
        </w:rPr>
        <w:t>ost-benefit analys</w:t>
      </w:r>
      <w:r w:rsidR="00DE0D35">
        <w:rPr>
          <w:rFonts w:ascii="Arial" w:hAnsi="Arial" w:cs="Arial"/>
          <w:sz w:val="24"/>
          <w:szCs w:val="24"/>
        </w:rPr>
        <w:t>e</w:t>
      </w:r>
      <w:r w:rsidR="00DE0D35" w:rsidRPr="00DE0D35">
        <w:rPr>
          <w:rFonts w:ascii="Arial" w:hAnsi="Arial" w:cs="Arial"/>
          <w:sz w:val="24"/>
          <w:szCs w:val="24"/>
        </w:rPr>
        <w:t>s examples are attached to this report as an appendix.</w:t>
      </w:r>
      <w:r w:rsidR="00786245" w:rsidRPr="001727B3">
        <w:rPr>
          <w:rFonts w:ascii="Arial" w:hAnsi="Arial" w:cs="Arial"/>
          <w:sz w:val="24"/>
          <w:szCs w:val="24"/>
        </w:rPr>
        <w:t xml:space="preserve"> </w:t>
      </w:r>
      <w:r w:rsidR="002420F0" w:rsidRPr="001727B3">
        <w:rPr>
          <w:rFonts w:ascii="Arial" w:hAnsi="Arial" w:cs="Arial"/>
          <w:sz w:val="24"/>
          <w:szCs w:val="24"/>
        </w:rPr>
        <w:t xml:space="preserve"> </w:t>
      </w:r>
    </w:p>
    <w:p w:rsidR="00DE0D35" w:rsidRDefault="00DE0D35" w:rsidP="001727B3">
      <w:pPr>
        <w:spacing w:after="0" w:line="360" w:lineRule="auto"/>
        <w:rPr>
          <w:rFonts w:ascii="Arial" w:hAnsi="Arial" w:cs="Arial"/>
          <w:sz w:val="24"/>
          <w:szCs w:val="24"/>
        </w:rPr>
      </w:pPr>
    </w:p>
    <w:p w:rsidR="00C82C5E" w:rsidRPr="009B51F2" w:rsidRDefault="00786245" w:rsidP="00DE0D35">
      <w:pPr>
        <w:spacing w:after="0" w:line="360" w:lineRule="auto"/>
        <w:ind w:firstLine="720"/>
        <w:rPr>
          <w:rFonts w:ascii="Arial" w:hAnsi="Arial" w:cs="Arial"/>
          <w:sz w:val="24"/>
          <w:szCs w:val="24"/>
        </w:rPr>
      </w:pPr>
      <w:r w:rsidRPr="001727B3">
        <w:rPr>
          <w:rFonts w:ascii="Arial" w:hAnsi="Arial" w:cs="Arial"/>
          <w:sz w:val="24"/>
          <w:szCs w:val="24"/>
        </w:rPr>
        <w:t>O</w:t>
      </w:r>
      <w:r w:rsidR="002420F0" w:rsidRPr="001727B3">
        <w:rPr>
          <w:rFonts w:ascii="Arial" w:hAnsi="Arial" w:cs="Arial"/>
          <w:sz w:val="24"/>
          <w:szCs w:val="24"/>
        </w:rPr>
        <w:t xml:space="preserve">n February 16, 2010, various participants in the Fuel Switching Working Group provided </w:t>
      </w:r>
      <w:r w:rsidR="00DE0D35">
        <w:rPr>
          <w:rFonts w:ascii="Arial" w:hAnsi="Arial" w:cs="Arial"/>
          <w:sz w:val="24"/>
          <w:szCs w:val="24"/>
        </w:rPr>
        <w:t>c</w:t>
      </w:r>
      <w:r w:rsidR="002420F0" w:rsidRPr="001727B3">
        <w:rPr>
          <w:rFonts w:ascii="Arial" w:hAnsi="Arial" w:cs="Arial"/>
          <w:sz w:val="24"/>
          <w:szCs w:val="24"/>
        </w:rPr>
        <w:t>omments with respect to the subcommittee’s analyses.</w:t>
      </w:r>
      <w:r w:rsidR="00DE0D35">
        <w:rPr>
          <w:rFonts w:ascii="Arial" w:hAnsi="Arial" w:cs="Arial"/>
          <w:sz w:val="24"/>
          <w:szCs w:val="24"/>
        </w:rPr>
        <w:t xml:space="preserve">  The parties that submitted comments </w:t>
      </w:r>
      <w:r w:rsidR="003152EC">
        <w:rPr>
          <w:rFonts w:ascii="Arial" w:hAnsi="Arial" w:cs="Arial"/>
          <w:sz w:val="24"/>
          <w:szCs w:val="24"/>
        </w:rPr>
        <w:t xml:space="preserve">were West Penn Power Co. d/b/a </w:t>
      </w:r>
      <w:r w:rsidR="003152EC" w:rsidRPr="009C5E24">
        <w:rPr>
          <w:rFonts w:ascii="Arial" w:hAnsi="Arial" w:cs="Arial"/>
          <w:sz w:val="24"/>
          <w:szCs w:val="24"/>
        </w:rPr>
        <w:t>Allegheny Power (Allegheny)</w:t>
      </w:r>
      <w:r w:rsidR="003152EC">
        <w:rPr>
          <w:rFonts w:ascii="Arial" w:hAnsi="Arial" w:cs="Arial"/>
          <w:sz w:val="24"/>
          <w:szCs w:val="24"/>
        </w:rPr>
        <w:t>; Citizen Power;</w:t>
      </w:r>
      <w:r w:rsidR="003152EC" w:rsidRPr="009C5E24">
        <w:rPr>
          <w:rFonts w:ascii="Arial" w:hAnsi="Arial" w:cs="Arial"/>
          <w:sz w:val="24"/>
          <w:szCs w:val="24"/>
        </w:rPr>
        <w:t xml:space="preserve"> </w:t>
      </w:r>
      <w:r w:rsidR="003152EC">
        <w:rPr>
          <w:rFonts w:ascii="Arial" w:hAnsi="Arial" w:cs="Arial"/>
          <w:sz w:val="24"/>
          <w:szCs w:val="24"/>
        </w:rPr>
        <w:t>Columbia Gas of Pennsylvania, Inc. (Columbia Gas);</w:t>
      </w:r>
      <w:r w:rsidR="003152EC" w:rsidRPr="009C5E24">
        <w:rPr>
          <w:rFonts w:ascii="Arial" w:hAnsi="Arial" w:cs="Arial"/>
          <w:sz w:val="24"/>
          <w:szCs w:val="24"/>
        </w:rPr>
        <w:t xml:space="preserve"> Community Legal Services of Philadelphia (CL</w:t>
      </w:r>
      <w:r w:rsidR="003152EC">
        <w:rPr>
          <w:rFonts w:ascii="Arial" w:hAnsi="Arial" w:cs="Arial"/>
          <w:sz w:val="24"/>
          <w:szCs w:val="24"/>
        </w:rPr>
        <w:t>S</w:t>
      </w:r>
      <w:r w:rsidR="003152EC" w:rsidRPr="009C5E24">
        <w:rPr>
          <w:rFonts w:ascii="Arial" w:hAnsi="Arial" w:cs="Arial"/>
          <w:sz w:val="24"/>
          <w:szCs w:val="24"/>
        </w:rPr>
        <w:t>)</w:t>
      </w:r>
      <w:r w:rsidR="003152EC">
        <w:rPr>
          <w:rFonts w:ascii="Arial" w:hAnsi="Arial" w:cs="Arial"/>
          <w:sz w:val="24"/>
          <w:szCs w:val="24"/>
        </w:rPr>
        <w:t>;</w:t>
      </w:r>
      <w:r w:rsidR="003152EC" w:rsidRPr="009C5E24">
        <w:rPr>
          <w:rFonts w:ascii="Arial" w:hAnsi="Arial" w:cs="Arial"/>
          <w:sz w:val="24"/>
          <w:szCs w:val="24"/>
        </w:rPr>
        <w:t xml:space="preserve"> </w:t>
      </w:r>
      <w:r w:rsidR="003152EC">
        <w:rPr>
          <w:rFonts w:ascii="Arial" w:hAnsi="Arial" w:cs="Arial"/>
          <w:sz w:val="24"/>
          <w:szCs w:val="24"/>
        </w:rPr>
        <w:t xml:space="preserve">Metropolitan Edison Company, Pennsylvania Electric Company and Pennsylvania Power Company (collectively, </w:t>
      </w:r>
      <w:r w:rsidR="003152EC" w:rsidRPr="009C5E24">
        <w:rPr>
          <w:rFonts w:ascii="Arial" w:hAnsi="Arial" w:cs="Arial"/>
          <w:sz w:val="24"/>
          <w:szCs w:val="24"/>
        </w:rPr>
        <w:t>FirstEnergy)</w:t>
      </w:r>
      <w:r w:rsidR="003152EC">
        <w:rPr>
          <w:rFonts w:ascii="Arial" w:hAnsi="Arial" w:cs="Arial"/>
          <w:sz w:val="24"/>
          <w:szCs w:val="24"/>
        </w:rPr>
        <w:t>;</w:t>
      </w:r>
      <w:r w:rsidR="003152EC" w:rsidRPr="009C5E24">
        <w:rPr>
          <w:rFonts w:ascii="Arial" w:hAnsi="Arial" w:cs="Arial"/>
          <w:sz w:val="24"/>
          <w:szCs w:val="24"/>
        </w:rPr>
        <w:t xml:space="preserve"> Keystone Energy Efficiency Alliance (KEEA)</w:t>
      </w:r>
      <w:r w:rsidR="003152EC">
        <w:rPr>
          <w:rFonts w:ascii="Arial" w:hAnsi="Arial" w:cs="Arial"/>
          <w:sz w:val="24"/>
          <w:szCs w:val="24"/>
        </w:rPr>
        <w:t>;</w:t>
      </w:r>
      <w:r w:rsidR="003152EC" w:rsidRPr="009C5E24">
        <w:rPr>
          <w:rFonts w:ascii="Arial" w:hAnsi="Arial" w:cs="Arial"/>
          <w:sz w:val="24"/>
          <w:szCs w:val="24"/>
        </w:rPr>
        <w:t xml:space="preserve"> Office of Small Business Advocate (OSBA)</w:t>
      </w:r>
      <w:r w:rsidR="003152EC">
        <w:rPr>
          <w:rFonts w:ascii="Arial" w:hAnsi="Arial" w:cs="Arial"/>
          <w:sz w:val="24"/>
          <w:szCs w:val="24"/>
        </w:rPr>
        <w:t>;</w:t>
      </w:r>
      <w:r w:rsidR="003152EC" w:rsidRPr="009C5E24">
        <w:rPr>
          <w:rFonts w:ascii="Arial" w:hAnsi="Arial" w:cs="Arial"/>
          <w:sz w:val="24"/>
          <w:szCs w:val="24"/>
        </w:rPr>
        <w:t xml:space="preserve"> Pennsylvania Utility Law Project (PULP).</w:t>
      </w:r>
      <w:r w:rsidR="009B51F2">
        <w:rPr>
          <w:rFonts w:ascii="Arial" w:hAnsi="Arial" w:cs="Arial"/>
          <w:sz w:val="24"/>
          <w:szCs w:val="24"/>
        </w:rPr>
        <w:t xml:space="preserve">  </w:t>
      </w:r>
      <w:r w:rsidR="009B51F2" w:rsidRPr="009B51F2">
        <w:rPr>
          <w:rFonts w:ascii="Arial" w:hAnsi="Arial" w:cs="Arial"/>
          <w:sz w:val="24"/>
          <w:szCs w:val="24"/>
        </w:rPr>
        <w:t xml:space="preserve">The </w:t>
      </w:r>
      <w:r w:rsidR="0041154A">
        <w:rPr>
          <w:rFonts w:ascii="Arial" w:hAnsi="Arial" w:cs="Arial"/>
          <w:sz w:val="24"/>
          <w:szCs w:val="24"/>
        </w:rPr>
        <w:t>comments</w:t>
      </w:r>
      <w:r w:rsidR="009B51F2" w:rsidRPr="009B51F2">
        <w:rPr>
          <w:rFonts w:ascii="Arial" w:hAnsi="Arial" w:cs="Arial"/>
          <w:sz w:val="24"/>
          <w:szCs w:val="24"/>
        </w:rPr>
        <w:t xml:space="preserve"> are attached to this report as an appendix.</w:t>
      </w:r>
    </w:p>
    <w:p w:rsidR="00410438" w:rsidRPr="009C5E24" w:rsidRDefault="00E14456" w:rsidP="00406F74">
      <w:pPr>
        <w:spacing w:after="0" w:line="360" w:lineRule="auto"/>
        <w:rPr>
          <w:rFonts w:ascii="Arial" w:hAnsi="Arial" w:cs="Arial"/>
          <w:sz w:val="24"/>
          <w:szCs w:val="24"/>
        </w:rPr>
      </w:pPr>
      <w:r w:rsidRPr="009C5E24">
        <w:rPr>
          <w:rFonts w:ascii="Arial" w:hAnsi="Arial" w:cs="Arial"/>
          <w:sz w:val="24"/>
          <w:szCs w:val="24"/>
        </w:rPr>
        <w:t>  </w:t>
      </w:r>
    </w:p>
    <w:p w:rsidR="00836B82" w:rsidRDefault="00836B82">
      <w:pPr>
        <w:spacing w:after="0" w:line="240" w:lineRule="auto"/>
        <w:rPr>
          <w:rFonts w:ascii="Arial" w:hAnsi="Arial" w:cs="Arial"/>
          <w:sz w:val="24"/>
          <w:szCs w:val="24"/>
        </w:rPr>
      </w:pPr>
      <w:r>
        <w:rPr>
          <w:rFonts w:ascii="Arial" w:hAnsi="Arial" w:cs="Arial"/>
          <w:sz w:val="24"/>
          <w:szCs w:val="24"/>
        </w:rPr>
        <w:br w:type="page"/>
      </w:r>
    </w:p>
    <w:p w:rsidR="00C82C5E" w:rsidRPr="009C5E24" w:rsidRDefault="006A4E54" w:rsidP="00406F74">
      <w:pPr>
        <w:spacing w:after="0" w:line="360" w:lineRule="auto"/>
        <w:ind w:firstLine="720"/>
        <w:rPr>
          <w:rFonts w:ascii="Arial" w:hAnsi="Arial" w:cs="Arial"/>
          <w:sz w:val="24"/>
          <w:szCs w:val="24"/>
        </w:rPr>
      </w:pPr>
      <w:r>
        <w:rPr>
          <w:rFonts w:ascii="Arial" w:hAnsi="Arial" w:cs="Arial"/>
          <w:sz w:val="24"/>
          <w:szCs w:val="24"/>
        </w:rPr>
        <w:lastRenderedPageBreak/>
        <w:t>The Working Group held a</w:t>
      </w:r>
      <w:r w:rsidR="003921B8" w:rsidRPr="009C5E24">
        <w:rPr>
          <w:rFonts w:ascii="Arial" w:hAnsi="Arial" w:cs="Arial"/>
          <w:sz w:val="24"/>
          <w:szCs w:val="24"/>
        </w:rPr>
        <w:t xml:space="preserve"> meeting on Feb. 26, 2010 to discuss the work product of the subcommittee and related issues.</w:t>
      </w:r>
      <w:r w:rsidR="0017799E">
        <w:rPr>
          <w:rFonts w:ascii="Arial" w:hAnsi="Arial" w:cs="Arial"/>
          <w:sz w:val="24"/>
          <w:szCs w:val="24"/>
        </w:rPr>
        <w:t xml:space="preserve">  In addition, the Working Group established a reply comment schedule and </w:t>
      </w:r>
      <w:r w:rsidR="00162E45">
        <w:rPr>
          <w:rFonts w:ascii="Arial" w:hAnsi="Arial" w:cs="Arial"/>
          <w:sz w:val="24"/>
          <w:szCs w:val="24"/>
        </w:rPr>
        <w:t>requested that EDCs and NGDCs provide additional data regarding natural gas penetration rates.</w:t>
      </w:r>
    </w:p>
    <w:p w:rsidR="00C82C5E" w:rsidRPr="009C5E24" w:rsidRDefault="00C82C5E" w:rsidP="00406F74">
      <w:pPr>
        <w:pStyle w:val="NormalWeb"/>
        <w:spacing w:before="0" w:beforeAutospacing="0" w:after="0" w:afterAutospacing="0" w:line="360" w:lineRule="auto"/>
        <w:ind w:firstLine="720"/>
        <w:rPr>
          <w:rFonts w:ascii="Arial" w:hAnsi="Arial" w:cs="Arial"/>
        </w:rPr>
      </w:pPr>
    </w:p>
    <w:p w:rsidR="003921B8" w:rsidRPr="009C5E24" w:rsidRDefault="006A4E54" w:rsidP="00622876">
      <w:pPr>
        <w:pStyle w:val="NormalWeb"/>
        <w:spacing w:before="0" w:beforeAutospacing="0" w:after="0" w:afterAutospacing="0" w:line="360" w:lineRule="auto"/>
        <w:ind w:firstLine="720"/>
        <w:rPr>
          <w:rFonts w:ascii="Arial" w:hAnsi="Arial" w:cs="Arial"/>
        </w:rPr>
      </w:pPr>
      <w:r>
        <w:rPr>
          <w:rFonts w:ascii="Arial" w:hAnsi="Arial" w:cs="Arial"/>
        </w:rPr>
        <w:t>Participants submitted r</w:t>
      </w:r>
      <w:r w:rsidR="003921B8" w:rsidRPr="009C5E24">
        <w:rPr>
          <w:rFonts w:ascii="Arial" w:hAnsi="Arial" w:cs="Arial"/>
        </w:rPr>
        <w:t xml:space="preserve">eply comments </w:t>
      </w:r>
      <w:r w:rsidR="00162E45">
        <w:rPr>
          <w:rFonts w:ascii="Arial" w:hAnsi="Arial" w:cs="Arial"/>
        </w:rPr>
        <w:t xml:space="preserve">and the additional data requests </w:t>
      </w:r>
      <w:r w:rsidR="002F4242" w:rsidRPr="009C5E24">
        <w:rPr>
          <w:rFonts w:ascii="Arial" w:hAnsi="Arial" w:cs="Arial"/>
        </w:rPr>
        <w:t xml:space="preserve">on </w:t>
      </w:r>
      <w:r w:rsidR="00162E45">
        <w:rPr>
          <w:rFonts w:ascii="Arial" w:hAnsi="Arial" w:cs="Arial"/>
        </w:rPr>
        <w:t xml:space="preserve">or before </w:t>
      </w:r>
      <w:r w:rsidR="003921B8" w:rsidRPr="009C5E24">
        <w:rPr>
          <w:rFonts w:ascii="Arial" w:hAnsi="Arial" w:cs="Arial"/>
        </w:rPr>
        <w:t>March 12</w:t>
      </w:r>
      <w:r w:rsidR="002F4242" w:rsidRPr="009C5E24">
        <w:rPr>
          <w:rFonts w:ascii="Arial" w:hAnsi="Arial" w:cs="Arial"/>
        </w:rPr>
        <w:t>, 2010.</w:t>
      </w:r>
      <w:r w:rsidR="003921B8" w:rsidRPr="009C5E24">
        <w:rPr>
          <w:rFonts w:ascii="Arial" w:hAnsi="Arial" w:cs="Arial"/>
        </w:rPr>
        <w:t xml:space="preserve"> </w:t>
      </w:r>
      <w:r w:rsidR="00162E45">
        <w:rPr>
          <w:rFonts w:ascii="Arial" w:hAnsi="Arial" w:cs="Arial"/>
        </w:rPr>
        <w:t xml:space="preserve">The participants that provided reply comments were </w:t>
      </w:r>
      <w:r w:rsidR="001727B3" w:rsidRPr="009C5E24">
        <w:rPr>
          <w:rFonts w:ascii="Arial" w:hAnsi="Arial" w:cs="Arial"/>
        </w:rPr>
        <w:t>Allegheny</w:t>
      </w:r>
      <w:r w:rsidR="001727B3">
        <w:rPr>
          <w:rFonts w:ascii="Arial" w:hAnsi="Arial" w:cs="Arial"/>
        </w:rPr>
        <w:t xml:space="preserve">; </w:t>
      </w:r>
      <w:r w:rsidR="00B96605">
        <w:rPr>
          <w:rFonts w:ascii="Arial" w:hAnsi="Arial" w:cs="Arial"/>
        </w:rPr>
        <w:t>E Cubed</w:t>
      </w:r>
      <w:r w:rsidR="001727B3">
        <w:rPr>
          <w:rFonts w:ascii="Arial" w:hAnsi="Arial" w:cs="Arial"/>
        </w:rPr>
        <w:t>;</w:t>
      </w:r>
      <w:r w:rsidR="001727B3" w:rsidRPr="009C5E24">
        <w:rPr>
          <w:rFonts w:ascii="Arial" w:hAnsi="Arial" w:cs="Arial"/>
        </w:rPr>
        <w:t xml:space="preserve"> FirstEnergy</w:t>
      </w:r>
      <w:r w:rsidR="001727B3">
        <w:rPr>
          <w:rFonts w:ascii="Arial" w:hAnsi="Arial" w:cs="Arial"/>
        </w:rPr>
        <w:t>;</w:t>
      </w:r>
      <w:r w:rsidR="001727B3" w:rsidRPr="009C5E24">
        <w:rPr>
          <w:rFonts w:ascii="Arial" w:hAnsi="Arial" w:cs="Arial"/>
        </w:rPr>
        <w:t xml:space="preserve"> Industrial Customer Groups</w:t>
      </w:r>
      <w:r w:rsidR="001727B3">
        <w:rPr>
          <w:rStyle w:val="FootnoteReference"/>
          <w:rFonts w:ascii="Arial" w:hAnsi="Arial" w:cs="Arial"/>
        </w:rPr>
        <w:footnoteReference w:id="2"/>
      </w:r>
      <w:r w:rsidR="001727B3">
        <w:rPr>
          <w:rFonts w:ascii="Arial" w:hAnsi="Arial" w:cs="Arial"/>
        </w:rPr>
        <w:t>;</w:t>
      </w:r>
      <w:r w:rsidR="001727B3" w:rsidRPr="009C5E24">
        <w:rPr>
          <w:rFonts w:ascii="Arial" w:hAnsi="Arial" w:cs="Arial"/>
        </w:rPr>
        <w:t xml:space="preserve"> Office of Consumer Advocate (OCA)</w:t>
      </w:r>
      <w:r w:rsidR="001727B3">
        <w:rPr>
          <w:rFonts w:ascii="Arial" w:hAnsi="Arial" w:cs="Arial"/>
        </w:rPr>
        <w:t>;</w:t>
      </w:r>
      <w:r w:rsidR="001727B3" w:rsidRPr="009C5E24">
        <w:rPr>
          <w:rFonts w:ascii="Arial" w:hAnsi="Arial" w:cs="Arial"/>
        </w:rPr>
        <w:t xml:space="preserve"> OSBA</w:t>
      </w:r>
      <w:r w:rsidR="001727B3">
        <w:rPr>
          <w:rFonts w:ascii="Arial" w:hAnsi="Arial" w:cs="Arial"/>
        </w:rPr>
        <w:t>;</w:t>
      </w:r>
      <w:r w:rsidR="001727B3" w:rsidRPr="009C5E24">
        <w:rPr>
          <w:rFonts w:ascii="Arial" w:hAnsi="Arial" w:cs="Arial"/>
        </w:rPr>
        <w:t xml:space="preserve"> PPL Electric Utilities (PPL)</w:t>
      </w:r>
      <w:r w:rsidR="001727B3">
        <w:rPr>
          <w:rFonts w:ascii="Arial" w:hAnsi="Arial" w:cs="Arial"/>
        </w:rPr>
        <w:t>;</w:t>
      </w:r>
      <w:r w:rsidR="001727B3" w:rsidRPr="009C5E24">
        <w:rPr>
          <w:rFonts w:ascii="Arial" w:hAnsi="Arial" w:cs="Arial"/>
        </w:rPr>
        <w:t xml:space="preserve"> </w:t>
      </w:r>
      <w:r w:rsidR="00E63EBA">
        <w:rPr>
          <w:rFonts w:ascii="Arial" w:hAnsi="Arial" w:cs="Arial"/>
        </w:rPr>
        <w:t xml:space="preserve">SEF; </w:t>
      </w:r>
      <w:r w:rsidR="001727B3" w:rsidRPr="009C5E24">
        <w:rPr>
          <w:rFonts w:ascii="Arial" w:hAnsi="Arial" w:cs="Arial"/>
        </w:rPr>
        <w:t>and UGI.</w:t>
      </w:r>
      <w:r w:rsidR="00B95E98">
        <w:rPr>
          <w:rFonts w:ascii="Arial" w:hAnsi="Arial" w:cs="Arial"/>
        </w:rPr>
        <w:t xml:space="preserve">  </w:t>
      </w:r>
      <w:r w:rsidR="00B95E98" w:rsidRPr="009C5E24">
        <w:rPr>
          <w:rFonts w:ascii="Arial" w:hAnsi="Arial" w:cs="Arial"/>
        </w:rPr>
        <w:t>PECO Energy Company (PECO Energy)</w:t>
      </w:r>
      <w:r w:rsidR="00B95E98">
        <w:rPr>
          <w:rFonts w:ascii="Arial" w:hAnsi="Arial" w:cs="Arial"/>
        </w:rPr>
        <w:t xml:space="preserve"> and UGI submitted data request responses.  The submitted reply comments and data request responses </w:t>
      </w:r>
      <w:r w:rsidR="004C15ED">
        <w:rPr>
          <w:rFonts w:ascii="Arial" w:hAnsi="Arial" w:cs="Arial"/>
        </w:rPr>
        <w:t xml:space="preserve">are </w:t>
      </w:r>
      <w:r w:rsidR="00424774" w:rsidRPr="009B6FA9">
        <w:rPr>
          <w:rFonts w:ascii="Arial" w:hAnsi="Arial" w:cs="Arial"/>
        </w:rPr>
        <w:t>attached to this report as an appendix.</w:t>
      </w:r>
      <w:r w:rsidR="00B95E98">
        <w:rPr>
          <w:rFonts w:ascii="Arial" w:hAnsi="Arial" w:cs="Arial"/>
        </w:rPr>
        <w:t xml:space="preserve">  </w:t>
      </w:r>
    </w:p>
    <w:p w:rsidR="00920706" w:rsidRDefault="00920706" w:rsidP="00622876">
      <w:pPr>
        <w:spacing w:after="0" w:line="360" w:lineRule="auto"/>
        <w:rPr>
          <w:rFonts w:ascii="Arial" w:hAnsi="Arial" w:cs="Arial"/>
          <w:sz w:val="24"/>
          <w:szCs w:val="24"/>
        </w:rPr>
      </w:pPr>
    </w:p>
    <w:p w:rsidR="005412B5" w:rsidRPr="003921B8" w:rsidRDefault="005412B5" w:rsidP="00622876">
      <w:pPr>
        <w:spacing w:after="0" w:line="360" w:lineRule="auto"/>
        <w:rPr>
          <w:rFonts w:ascii="Arial" w:hAnsi="Arial" w:cs="Arial"/>
          <w:sz w:val="24"/>
          <w:szCs w:val="24"/>
        </w:rPr>
      </w:pPr>
    </w:p>
    <w:p w:rsidR="00920706" w:rsidRPr="00F00987" w:rsidRDefault="000B6997" w:rsidP="00B40C24">
      <w:pPr>
        <w:pStyle w:val="Heading1"/>
        <w:rPr>
          <w:rFonts w:ascii="Arial" w:hAnsi="Arial" w:cs="Arial"/>
        </w:rPr>
      </w:pPr>
      <w:bookmarkStart w:id="5" w:name="_Toc260316369"/>
      <w:r>
        <w:rPr>
          <w:rFonts w:ascii="Arial" w:hAnsi="Arial" w:cs="Arial"/>
        </w:rPr>
        <w:t xml:space="preserve">Topics and </w:t>
      </w:r>
      <w:r w:rsidR="00920706" w:rsidRPr="00F00987">
        <w:rPr>
          <w:rFonts w:ascii="Arial" w:hAnsi="Arial" w:cs="Arial"/>
        </w:rPr>
        <w:t>Recommendations</w:t>
      </w:r>
      <w:bookmarkStart w:id="6" w:name="_Toc253144709"/>
      <w:bookmarkEnd w:id="5"/>
    </w:p>
    <w:p w:rsidR="00920706" w:rsidRDefault="00920706" w:rsidP="00622876">
      <w:pPr>
        <w:spacing w:after="0" w:line="360" w:lineRule="auto"/>
        <w:rPr>
          <w:rFonts w:ascii="Arial" w:hAnsi="Arial" w:cs="Arial"/>
          <w:u w:val="single"/>
        </w:rPr>
      </w:pPr>
    </w:p>
    <w:p w:rsidR="004C15ED" w:rsidRDefault="004C15ED" w:rsidP="00622876">
      <w:pPr>
        <w:spacing w:after="0" w:line="360" w:lineRule="auto"/>
        <w:rPr>
          <w:rFonts w:ascii="Arial" w:hAnsi="Arial" w:cs="Arial"/>
          <w:sz w:val="24"/>
          <w:szCs w:val="24"/>
        </w:rPr>
      </w:pPr>
      <w:r>
        <w:rPr>
          <w:rFonts w:ascii="Arial" w:hAnsi="Arial" w:cs="Arial"/>
        </w:rPr>
        <w:tab/>
      </w:r>
      <w:r w:rsidRPr="001A6413">
        <w:rPr>
          <w:rFonts w:ascii="Arial" w:hAnsi="Arial" w:cs="Arial"/>
          <w:sz w:val="24"/>
          <w:szCs w:val="24"/>
        </w:rPr>
        <w:t xml:space="preserve">As discussed above, the Working Group focused its discussion on the </w:t>
      </w:r>
      <w:r w:rsidR="001A6413">
        <w:rPr>
          <w:rFonts w:ascii="Arial" w:hAnsi="Arial" w:cs="Arial"/>
          <w:sz w:val="24"/>
          <w:szCs w:val="24"/>
        </w:rPr>
        <w:t xml:space="preserve">eight questions </w:t>
      </w:r>
      <w:r w:rsidR="0003431C">
        <w:rPr>
          <w:rFonts w:ascii="Arial" w:hAnsi="Arial" w:cs="Arial"/>
          <w:sz w:val="24"/>
          <w:szCs w:val="24"/>
        </w:rPr>
        <w:t>raised in</w:t>
      </w:r>
      <w:r w:rsidR="001A6413">
        <w:rPr>
          <w:rFonts w:ascii="Arial" w:hAnsi="Arial" w:cs="Arial"/>
          <w:sz w:val="24"/>
          <w:szCs w:val="24"/>
        </w:rPr>
        <w:t xml:space="preserve"> the Secretarial Letter and a few additional issues raised during the Working Group meetings and in written comments.  </w:t>
      </w:r>
      <w:r w:rsidR="00DC5AB6">
        <w:rPr>
          <w:rFonts w:ascii="Arial" w:hAnsi="Arial" w:cs="Arial"/>
          <w:sz w:val="24"/>
          <w:szCs w:val="24"/>
        </w:rPr>
        <w:t xml:space="preserve">Staff notes that while the Working Group could not reach a true consensus on any of the topics raised, there were topics where participants </w:t>
      </w:r>
      <w:r w:rsidR="0070635A">
        <w:rPr>
          <w:rFonts w:ascii="Arial" w:hAnsi="Arial" w:cs="Arial"/>
          <w:sz w:val="24"/>
          <w:szCs w:val="24"/>
        </w:rPr>
        <w:t xml:space="preserve">could accept </w:t>
      </w:r>
      <w:r w:rsidR="002652DC">
        <w:rPr>
          <w:rFonts w:ascii="Arial" w:hAnsi="Arial" w:cs="Arial"/>
          <w:sz w:val="24"/>
          <w:szCs w:val="24"/>
        </w:rPr>
        <w:t>positions other than</w:t>
      </w:r>
      <w:r w:rsidR="0070635A">
        <w:rPr>
          <w:rFonts w:ascii="Arial" w:hAnsi="Arial" w:cs="Arial"/>
          <w:sz w:val="24"/>
          <w:szCs w:val="24"/>
        </w:rPr>
        <w:t xml:space="preserve"> their preferred position.  As there was no true consensus on t</w:t>
      </w:r>
      <w:r w:rsidR="0096547D">
        <w:rPr>
          <w:rFonts w:ascii="Arial" w:hAnsi="Arial" w:cs="Arial"/>
          <w:sz w:val="24"/>
          <w:szCs w:val="24"/>
        </w:rPr>
        <w:t xml:space="preserve">he topics, Commission staff have outlined </w:t>
      </w:r>
      <w:r w:rsidR="00775FF9">
        <w:rPr>
          <w:rFonts w:ascii="Arial" w:hAnsi="Arial" w:cs="Arial"/>
          <w:sz w:val="24"/>
          <w:szCs w:val="24"/>
        </w:rPr>
        <w:t>below,</w:t>
      </w:r>
      <w:r w:rsidR="0096547D">
        <w:rPr>
          <w:rFonts w:ascii="Arial" w:hAnsi="Arial" w:cs="Arial"/>
          <w:sz w:val="24"/>
          <w:szCs w:val="24"/>
        </w:rPr>
        <w:t xml:space="preserve"> the topics raised, the positions of the participants</w:t>
      </w:r>
      <w:r w:rsidR="00775FF9">
        <w:rPr>
          <w:rFonts w:ascii="Arial" w:hAnsi="Arial" w:cs="Arial"/>
          <w:sz w:val="24"/>
          <w:szCs w:val="24"/>
        </w:rPr>
        <w:t xml:space="preserve"> who submitted comments on a particular topic </w:t>
      </w:r>
      <w:r w:rsidR="0096547D">
        <w:rPr>
          <w:rFonts w:ascii="Arial" w:hAnsi="Arial" w:cs="Arial"/>
          <w:sz w:val="24"/>
          <w:szCs w:val="24"/>
        </w:rPr>
        <w:t>and</w:t>
      </w:r>
      <w:r w:rsidR="00775FF9">
        <w:rPr>
          <w:rFonts w:ascii="Arial" w:hAnsi="Arial" w:cs="Arial"/>
          <w:sz w:val="24"/>
          <w:szCs w:val="24"/>
        </w:rPr>
        <w:t>,</w:t>
      </w:r>
      <w:r w:rsidR="0096547D">
        <w:rPr>
          <w:rFonts w:ascii="Arial" w:hAnsi="Arial" w:cs="Arial"/>
          <w:sz w:val="24"/>
          <w:szCs w:val="24"/>
        </w:rPr>
        <w:t xml:space="preserve"> </w:t>
      </w:r>
      <w:r w:rsidR="00775FF9">
        <w:rPr>
          <w:rFonts w:ascii="Arial" w:hAnsi="Arial" w:cs="Arial"/>
          <w:sz w:val="24"/>
          <w:szCs w:val="24"/>
        </w:rPr>
        <w:t>where applicable,</w:t>
      </w:r>
      <w:r w:rsidR="0096547D">
        <w:rPr>
          <w:rFonts w:ascii="Arial" w:hAnsi="Arial" w:cs="Arial"/>
          <w:sz w:val="24"/>
          <w:szCs w:val="24"/>
        </w:rPr>
        <w:t xml:space="preserve"> </w:t>
      </w:r>
      <w:r w:rsidR="00775FF9">
        <w:rPr>
          <w:rFonts w:ascii="Arial" w:hAnsi="Arial" w:cs="Arial"/>
          <w:sz w:val="24"/>
          <w:szCs w:val="24"/>
        </w:rPr>
        <w:t xml:space="preserve">a </w:t>
      </w:r>
      <w:r w:rsidR="0096547D">
        <w:rPr>
          <w:rFonts w:ascii="Arial" w:hAnsi="Arial" w:cs="Arial"/>
          <w:sz w:val="24"/>
          <w:szCs w:val="24"/>
        </w:rPr>
        <w:t>Commission staff recommendation</w:t>
      </w:r>
      <w:r w:rsidR="00775FF9">
        <w:rPr>
          <w:rFonts w:ascii="Arial" w:hAnsi="Arial" w:cs="Arial"/>
          <w:sz w:val="24"/>
          <w:szCs w:val="24"/>
        </w:rPr>
        <w:t xml:space="preserve"> on the topic.</w:t>
      </w:r>
    </w:p>
    <w:p w:rsidR="00775FF9" w:rsidRPr="001A6413" w:rsidRDefault="00775FF9" w:rsidP="00622876">
      <w:pPr>
        <w:spacing w:after="0" w:line="360" w:lineRule="auto"/>
        <w:rPr>
          <w:rFonts w:ascii="Arial" w:hAnsi="Arial" w:cs="Arial"/>
          <w:sz w:val="24"/>
          <w:szCs w:val="24"/>
        </w:rPr>
      </w:pPr>
    </w:p>
    <w:p w:rsidR="004C15ED" w:rsidRPr="00282F3D" w:rsidRDefault="004C15ED" w:rsidP="00622876">
      <w:pPr>
        <w:spacing w:after="0" w:line="360" w:lineRule="auto"/>
        <w:rPr>
          <w:rFonts w:ascii="Arial" w:hAnsi="Arial" w:cs="Arial"/>
          <w:u w:val="single"/>
        </w:rPr>
      </w:pPr>
    </w:p>
    <w:p w:rsidR="00E2560F" w:rsidRDefault="00E2560F">
      <w:pPr>
        <w:spacing w:after="0" w:line="240" w:lineRule="auto"/>
        <w:rPr>
          <w:rFonts w:ascii="Arial" w:hAnsi="Arial" w:cs="Arial"/>
          <w:sz w:val="24"/>
          <w:szCs w:val="24"/>
          <w:u w:val="single"/>
        </w:rPr>
      </w:pPr>
      <w:r>
        <w:rPr>
          <w:rFonts w:ascii="Arial" w:hAnsi="Arial" w:cs="Arial"/>
          <w:sz w:val="24"/>
          <w:szCs w:val="24"/>
          <w:u w:val="single"/>
        </w:rPr>
        <w:br w:type="page"/>
      </w:r>
    </w:p>
    <w:p w:rsidR="000B6997" w:rsidRPr="00282F3D" w:rsidRDefault="000B6997" w:rsidP="00B40C24">
      <w:pPr>
        <w:pStyle w:val="ListParagraph"/>
        <w:numPr>
          <w:ilvl w:val="0"/>
          <w:numId w:val="6"/>
        </w:numPr>
        <w:spacing w:after="0" w:line="360" w:lineRule="auto"/>
        <w:outlineLvl w:val="1"/>
        <w:rPr>
          <w:rFonts w:ascii="Arial" w:hAnsi="Arial" w:cs="Arial"/>
          <w:sz w:val="24"/>
          <w:szCs w:val="24"/>
          <w:u w:val="single"/>
        </w:rPr>
      </w:pPr>
      <w:bookmarkStart w:id="7" w:name="_Toc260316370"/>
      <w:r w:rsidRPr="00282F3D">
        <w:rPr>
          <w:rFonts w:ascii="Arial" w:hAnsi="Arial" w:cs="Arial"/>
          <w:sz w:val="24"/>
          <w:szCs w:val="24"/>
          <w:u w:val="single"/>
        </w:rPr>
        <w:lastRenderedPageBreak/>
        <w:t>Are energy efficiency and conservation measures that offer incentive</w:t>
      </w:r>
      <w:r w:rsidR="00B5081C">
        <w:rPr>
          <w:rFonts w:ascii="Arial" w:hAnsi="Arial" w:cs="Arial"/>
          <w:sz w:val="24"/>
          <w:szCs w:val="24"/>
          <w:u w:val="single"/>
        </w:rPr>
        <w:t>s</w:t>
      </w:r>
      <w:r w:rsidRPr="00282F3D">
        <w:rPr>
          <w:rFonts w:ascii="Arial" w:hAnsi="Arial" w:cs="Arial"/>
          <w:sz w:val="24"/>
          <w:szCs w:val="24"/>
          <w:u w:val="single"/>
        </w:rPr>
        <w:t xml:space="preserve"> to customers to switch from electric heat to gas heat</w:t>
      </w:r>
      <w:r w:rsidR="0003431C">
        <w:rPr>
          <w:rFonts w:ascii="Arial" w:hAnsi="Arial" w:cs="Arial"/>
          <w:sz w:val="24"/>
          <w:szCs w:val="24"/>
          <w:u w:val="single"/>
        </w:rPr>
        <w:t>,</w:t>
      </w:r>
      <w:r w:rsidRPr="00282F3D">
        <w:rPr>
          <w:rFonts w:ascii="Arial" w:hAnsi="Arial" w:cs="Arial"/>
          <w:sz w:val="24"/>
          <w:szCs w:val="24"/>
          <w:u w:val="single"/>
        </w:rPr>
        <w:t xml:space="preserve"> or vice versa</w:t>
      </w:r>
      <w:r w:rsidR="0003431C">
        <w:rPr>
          <w:rFonts w:ascii="Arial" w:hAnsi="Arial" w:cs="Arial"/>
          <w:sz w:val="24"/>
          <w:szCs w:val="24"/>
          <w:u w:val="single"/>
        </w:rPr>
        <w:t>,</w:t>
      </w:r>
      <w:r w:rsidRPr="00282F3D">
        <w:rPr>
          <w:rFonts w:ascii="Arial" w:hAnsi="Arial" w:cs="Arial"/>
          <w:sz w:val="24"/>
          <w:szCs w:val="24"/>
          <w:u w:val="single"/>
        </w:rPr>
        <w:t xml:space="preserve"> appropriate for EDC EE&amp;C programs?</w:t>
      </w:r>
      <w:bookmarkEnd w:id="7"/>
    </w:p>
    <w:p w:rsidR="001724BF" w:rsidRDefault="001724BF" w:rsidP="00252A27">
      <w:pPr>
        <w:pStyle w:val="ListParagraph"/>
        <w:spacing w:after="0" w:line="360" w:lineRule="auto"/>
        <w:rPr>
          <w:rFonts w:ascii="Arial" w:hAnsi="Arial" w:cs="Arial"/>
          <w:sz w:val="24"/>
          <w:szCs w:val="24"/>
        </w:rPr>
      </w:pPr>
    </w:p>
    <w:p w:rsidR="00C349C7" w:rsidRPr="00C349C7" w:rsidRDefault="004B6AF2" w:rsidP="00C349C7">
      <w:pPr>
        <w:spacing w:after="0" w:line="360" w:lineRule="auto"/>
        <w:ind w:firstLine="720"/>
        <w:rPr>
          <w:rFonts w:ascii="Arial" w:hAnsi="Arial" w:cs="Arial"/>
          <w:sz w:val="24"/>
          <w:szCs w:val="24"/>
        </w:rPr>
      </w:pPr>
      <w:r>
        <w:rPr>
          <w:rFonts w:ascii="Arial" w:hAnsi="Arial" w:cs="Arial"/>
          <w:sz w:val="24"/>
          <w:szCs w:val="24"/>
        </w:rPr>
        <w:t xml:space="preserve">UGI </w:t>
      </w:r>
      <w:r w:rsidRPr="004B6AF2">
        <w:rPr>
          <w:rFonts w:ascii="Arial" w:hAnsi="Arial" w:cs="Arial"/>
          <w:sz w:val="24"/>
          <w:szCs w:val="24"/>
        </w:rPr>
        <w:t xml:space="preserve">avers </w:t>
      </w:r>
      <w:r>
        <w:rPr>
          <w:rFonts w:ascii="Arial" w:hAnsi="Arial" w:cs="Arial"/>
          <w:sz w:val="24"/>
          <w:szCs w:val="24"/>
        </w:rPr>
        <w:t xml:space="preserve">that </w:t>
      </w:r>
      <w:r w:rsidRPr="004B6AF2">
        <w:rPr>
          <w:rFonts w:ascii="Arial" w:hAnsi="Arial" w:cs="Arial"/>
          <w:sz w:val="24"/>
          <w:szCs w:val="24"/>
        </w:rPr>
        <w:t>the Commission should not rely on the energy efficiency program proposals of EDCs alone simply because EDCs would be subject to potential fines for non-compliance with initial goals set in Act 129</w:t>
      </w:r>
      <w:r>
        <w:rPr>
          <w:rFonts w:ascii="Arial" w:hAnsi="Arial" w:cs="Arial"/>
          <w:sz w:val="24"/>
          <w:szCs w:val="24"/>
        </w:rPr>
        <w:t xml:space="preserve">.  UGI believes that the Commission </w:t>
      </w:r>
      <w:r w:rsidRPr="004B6AF2">
        <w:rPr>
          <w:rFonts w:ascii="Arial" w:hAnsi="Arial" w:cs="Arial"/>
          <w:sz w:val="24"/>
          <w:szCs w:val="24"/>
        </w:rPr>
        <w:t xml:space="preserve">has a </w:t>
      </w:r>
      <w:r w:rsidRPr="00C349C7">
        <w:rPr>
          <w:rFonts w:ascii="Arial" w:hAnsi="Arial" w:cs="Arial"/>
          <w:sz w:val="24"/>
          <w:szCs w:val="24"/>
        </w:rPr>
        <w:t>statutory obligation to consider plan improvements proposed by others and to order program improvements if the evidence indicates that alternatives are superior.</w:t>
      </w:r>
      <w:r w:rsidR="008F2CB1">
        <w:rPr>
          <w:rFonts w:ascii="Arial" w:hAnsi="Arial" w:cs="Arial"/>
          <w:sz w:val="24"/>
          <w:szCs w:val="24"/>
        </w:rPr>
        <w:t xml:space="preserve">  </w:t>
      </w:r>
      <w:r w:rsidR="00C349C7" w:rsidRPr="00C349C7">
        <w:rPr>
          <w:rFonts w:ascii="Arial" w:hAnsi="Arial" w:cs="Arial"/>
          <w:sz w:val="24"/>
          <w:szCs w:val="24"/>
        </w:rPr>
        <w:t xml:space="preserve">UGI also notes that the Commission recognized that third parties </w:t>
      </w:r>
      <w:r w:rsidR="0003431C">
        <w:rPr>
          <w:rFonts w:ascii="Arial" w:hAnsi="Arial" w:cs="Arial"/>
          <w:sz w:val="24"/>
          <w:szCs w:val="24"/>
        </w:rPr>
        <w:t xml:space="preserve">should </w:t>
      </w:r>
      <w:r w:rsidR="00C349C7" w:rsidRPr="00C349C7">
        <w:rPr>
          <w:rFonts w:ascii="Arial" w:hAnsi="Arial" w:cs="Arial"/>
          <w:sz w:val="24"/>
          <w:szCs w:val="24"/>
        </w:rPr>
        <w:t>be provided the opportunity to suggest improvements to EDC-proposed programs. (UGI Reply Comments at 2</w:t>
      </w:r>
      <w:r w:rsidR="008F2CB1">
        <w:rPr>
          <w:rFonts w:ascii="Arial" w:hAnsi="Arial" w:cs="Arial"/>
          <w:sz w:val="24"/>
          <w:szCs w:val="24"/>
        </w:rPr>
        <w:t>.</w:t>
      </w:r>
      <w:r w:rsidR="00C349C7" w:rsidRPr="00C349C7">
        <w:rPr>
          <w:rFonts w:ascii="Arial" w:hAnsi="Arial" w:cs="Arial"/>
          <w:sz w:val="24"/>
          <w:szCs w:val="24"/>
        </w:rPr>
        <w:t>)</w:t>
      </w:r>
    </w:p>
    <w:p w:rsidR="00C349C7" w:rsidRPr="00C349C7" w:rsidRDefault="00C349C7" w:rsidP="00C349C7">
      <w:pPr>
        <w:spacing w:after="0" w:line="360" w:lineRule="auto"/>
        <w:ind w:firstLine="720"/>
        <w:rPr>
          <w:rFonts w:ascii="Arial" w:hAnsi="Arial" w:cs="Arial"/>
          <w:sz w:val="24"/>
          <w:szCs w:val="24"/>
        </w:rPr>
      </w:pPr>
    </w:p>
    <w:p w:rsidR="004B6AF2" w:rsidRPr="00C349C7" w:rsidRDefault="00C349C7" w:rsidP="00C349C7">
      <w:pPr>
        <w:pStyle w:val="ListParagraph"/>
        <w:spacing w:after="0" w:line="360" w:lineRule="auto"/>
        <w:ind w:left="0" w:firstLine="720"/>
        <w:rPr>
          <w:rFonts w:ascii="Arial" w:hAnsi="Arial" w:cs="Arial"/>
          <w:sz w:val="24"/>
          <w:szCs w:val="24"/>
        </w:rPr>
      </w:pPr>
      <w:r w:rsidRPr="00C349C7">
        <w:rPr>
          <w:rFonts w:ascii="Arial" w:hAnsi="Arial" w:cs="Arial"/>
          <w:sz w:val="24"/>
          <w:szCs w:val="24"/>
        </w:rPr>
        <w:t>UGI and other Pennsylvania NGDCs presented detailed proposals for plan improvements during the Act 129 hearings and believe the Commission should review and act on this evidence to make improvements</w:t>
      </w:r>
      <w:r w:rsidR="0003431C">
        <w:rPr>
          <w:rFonts w:ascii="Arial" w:hAnsi="Arial" w:cs="Arial"/>
          <w:sz w:val="24"/>
          <w:szCs w:val="24"/>
        </w:rPr>
        <w:t xml:space="preserve"> to EDC plans where appropriate</w:t>
      </w:r>
      <w:r w:rsidRPr="00C349C7">
        <w:rPr>
          <w:rFonts w:ascii="Arial" w:hAnsi="Arial" w:cs="Arial"/>
          <w:sz w:val="24"/>
          <w:szCs w:val="24"/>
        </w:rPr>
        <w:t xml:space="preserve"> and not expect EDCs to voluntarily adopt these programs.  (UGI Reply Comments at 3</w:t>
      </w:r>
      <w:r w:rsidR="008F2CB1">
        <w:rPr>
          <w:rFonts w:ascii="Arial" w:hAnsi="Arial" w:cs="Arial"/>
          <w:sz w:val="24"/>
          <w:szCs w:val="24"/>
        </w:rPr>
        <w:t>.</w:t>
      </w:r>
      <w:r w:rsidRPr="00C349C7">
        <w:rPr>
          <w:rFonts w:ascii="Arial" w:hAnsi="Arial" w:cs="Arial"/>
          <w:sz w:val="24"/>
          <w:szCs w:val="24"/>
        </w:rPr>
        <w:t>)</w:t>
      </w:r>
    </w:p>
    <w:p w:rsidR="00C349C7" w:rsidRPr="00C349C7" w:rsidRDefault="00C349C7" w:rsidP="00C349C7">
      <w:pPr>
        <w:pStyle w:val="ListParagraph"/>
        <w:spacing w:after="0" w:line="360" w:lineRule="auto"/>
        <w:ind w:left="0" w:firstLine="720"/>
        <w:rPr>
          <w:rFonts w:ascii="Arial" w:hAnsi="Arial" w:cs="Arial"/>
          <w:sz w:val="24"/>
          <w:szCs w:val="24"/>
        </w:rPr>
      </w:pPr>
    </w:p>
    <w:p w:rsidR="001724BF" w:rsidRPr="00B156C8" w:rsidRDefault="001724BF" w:rsidP="00C349C7">
      <w:pPr>
        <w:pStyle w:val="ListParagraph"/>
        <w:spacing w:after="0" w:line="360" w:lineRule="auto"/>
        <w:ind w:left="0" w:firstLine="720"/>
        <w:rPr>
          <w:rFonts w:ascii="Arial" w:hAnsi="Arial" w:cs="Arial"/>
          <w:sz w:val="24"/>
          <w:szCs w:val="24"/>
        </w:rPr>
      </w:pPr>
      <w:r w:rsidRPr="00C349C7">
        <w:rPr>
          <w:rFonts w:ascii="Arial" w:hAnsi="Arial" w:cs="Arial"/>
          <w:sz w:val="24"/>
          <w:szCs w:val="24"/>
        </w:rPr>
        <w:t>OCA submits that fuel switching</w:t>
      </w:r>
      <w:r w:rsidRPr="00B156C8">
        <w:rPr>
          <w:rFonts w:ascii="Arial" w:hAnsi="Arial" w:cs="Arial"/>
          <w:sz w:val="24"/>
          <w:szCs w:val="24"/>
        </w:rPr>
        <w:t xml:space="preserve"> measures and applications, in the appropriate circumstances, should be available to EDCs and their stakeholders when considering the best means of achieving energy efficiency goals.  OCA submits, however, that just as no other particular energy efficiency program has been mandated for implementation, </w:t>
      </w:r>
      <w:r w:rsidR="00286093">
        <w:rPr>
          <w:rFonts w:ascii="Arial" w:hAnsi="Arial" w:cs="Arial"/>
          <w:sz w:val="24"/>
          <w:szCs w:val="24"/>
        </w:rPr>
        <w:t xml:space="preserve">neither </w:t>
      </w:r>
      <w:r w:rsidR="00F11654">
        <w:rPr>
          <w:rFonts w:ascii="Arial" w:hAnsi="Arial" w:cs="Arial"/>
          <w:sz w:val="24"/>
          <w:szCs w:val="24"/>
        </w:rPr>
        <w:t xml:space="preserve">should </w:t>
      </w:r>
      <w:r w:rsidR="00F11654" w:rsidRPr="00B156C8">
        <w:rPr>
          <w:rFonts w:ascii="Arial" w:hAnsi="Arial" w:cs="Arial"/>
          <w:sz w:val="24"/>
          <w:szCs w:val="24"/>
        </w:rPr>
        <w:t>the Commission mandate fuel switching programs</w:t>
      </w:r>
      <w:r w:rsidRPr="00B156C8">
        <w:rPr>
          <w:rFonts w:ascii="Arial" w:hAnsi="Arial" w:cs="Arial"/>
          <w:sz w:val="24"/>
          <w:szCs w:val="24"/>
        </w:rPr>
        <w:t>.</w:t>
      </w:r>
      <w:r w:rsidR="006A4E54">
        <w:rPr>
          <w:rFonts w:ascii="Arial" w:hAnsi="Arial" w:cs="Arial"/>
          <w:sz w:val="24"/>
          <w:szCs w:val="24"/>
        </w:rPr>
        <w:t xml:space="preserve">  </w:t>
      </w:r>
      <w:r w:rsidRPr="00B156C8">
        <w:rPr>
          <w:rFonts w:ascii="Arial" w:hAnsi="Arial" w:cs="Arial"/>
          <w:sz w:val="24"/>
          <w:szCs w:val="24"/>
        </w:rPr>
        <w:t>(</w:t>
      </w:r>
      <w:r w:rsidR="00C80862">
        <w:rPr>
          <w:rFonts w:ascii="Arial" w:hAnsi="Arial" w:cs="Arial"/>
          <w:sz w:val="24"/>
          <w:szCs w:val="24"/>
        </w:rPr>
        <w:t xml:space="preserve">OCA </w:t>
      </w:r>
      <w:r w:rsidRPr="00B156C8">
        <w:rPr>
          <w:rFonts w:ascii="Arial" w:hAnsi="Arial" w:cs="Arial"/>
          <w:sz w:val="24"/>
          <w:szCs w:val="24"/>
        </w:rPr>
        <w:t>R</w:t>
      </w:r>
      <w:r w:rsidR="00974B97">
        <w:rPr>
          <w:rFonts w:ascii="Arial" w:hAnsi="Arial" w:cs="Arial"/>
          <w:sz w:val="24"/>
          <w:szCs w:val="24"/>
        </w:rPr>
        <w:t>eply Comments</w:t>
      </w:r>
      <w:r w:rsidRPr="00B156C8">
        <w:rPr>
          <w:rFonts w:ascii="Arial" w:hAnsi="Arial" w:cs="Arial"/>
          <w:sz w:val="24"/>
          <w:szCs w:val="24"/>
        </w:rPr>
        <w:t xml:space="preserve"> at 1</w:t>
      </w:r>
      <w:r w:rsidR="008F2CB1">
        <w:rPr>
          <w:rFonts w:ascii="Arial" w:hAnsi="Arial" w:cs="Arial"/>
          <w:sz w:val="24"/>
          <w:szCs w:val="24"/>
        </w:rPr>
        <w:t>.</w:t>
      </w:r>
      <w:r w:rsidRPr="00B156C8">
        <w:rPr>
          <w:rFonts w:ascii="Arial" w:hAnsi="Arial" w:cs="Arial"/>
          <w:sz w:val="24"/>
          <w:szCs w:val="24"/>
        </w:rPr>
        <w:t>)</w:t>
      </w:r>
    </w:p>
    <w:p w:rsidR="00D614B0" w:rsidRPr="00B156C8" w:rsidRDefault="00D614B0" w:rsidP="00406F74">
      <w:pPr>
        <w:pStyle w:val="ListParagraph"/>
        <w:spacing w:after="0" w:line="360" w:lineRule="auto"/>
        <w:ind w:left="0"/>
        <w:rPr>
          <w:rFonts w:ascii="Arial" w:hAnsi="Arial" w:cs="Arial"/>
          <w:sz w:val="24"/>
          <w:szCs w:val="24"/>
        </w:rPr>
      </w:pPr>
    </w:p>
    <w:p w:rsidR="00D614B0" w:rsidRPr="00771F47" w:rsidRDefault="00D614B0" w:rsidP="00620BAB">
      <w:pPr>
        <w:pStyle w:val="ListParagraph"/>
        <w:spacing w:after="0" w:line="360" w:lineRule="auto"/>
        <w:ind w:left="0" w:firstLine="720"/>
        <w:rPr>
          <w:rFonts w:ascii="Arial" w:hAnsi="Arial" w:cs="Arial"/>
          <w:sz w:val="24"/>
          <w:szCs w:val="24"/>
        </w:rPr>
      </w:pPr>
      <w:r w:rsidRPr="00B156C8">
        <w:rPr>
          <w:rFonts w:ascii="Arial" w:hAnsi="Arial" w:cs="Arial"/>
          <w:sz w:val="24"/>
          <w:szCs w:val="24"/>
        </w:rPr>
        <w:t xml:space="preserve">OCA </w:t>
      </w:r>
      <w:r w:rsidR="008F2CB1">
        <w:rPr>
          <w:rFonts w:ascii="Arial" w:hAnsi="Arial" w:cs="Arial"/>
          <w:sz w:val="24"/>
          <w:szCs w:val="24"/>
        </w:rPr>
        <w:t xml:space="preserve">further </w:t>
      </w:r>
      <w:r w:rsidRPr="00B156C8">
        <w:rPr>
          <w:rFonts w:ascii="Arial" w:hAnsi="Arial" w:cs="Arial"/>
          <w:sz w:val="24"/>
          <w:szCs w:val="24"/>
        </w:rPr>
        <w:t xml:space="preserve">submits that EDCs should address fuel switching programs through </w:t>
      </w:r>
      <w:r w:rsidR="00F11654">
        <w:rPr>
          <w:rFonts w:ascii="Arial" w:hAnsi="Arial" w:cs="Arial"/>
          <w:sz w:val="24"/>
          <w:szCs w:val="24"/>
        </w:rPr>
        <w:t>its</w:t>
      </w:r>
      <w:r w:rsidRPr="00B156C8">
        <w:rPr>
          <w:rFonts w:ascii="Arial" w:hAnsi="Arial" w:cs="Arial"/>
          <w:sz w:val="24"/>
          <w:szCs w:val="24"/>
        </w:rPr>
        <w:t xml:space="preserve"> stakeholder processes along with all other programs when determining if there are improvements to their energy efficiency programs </w:t>
      </w:r>
      <w:r w:rsidR="00F11654">
        <w:rPr>
          <w:rFonts w:ascii="Arial" w:hAnsi="Arial" w:cs="Arial"/>
          <w:sz w:val="24"/>
          <w:szCs w:val="24"/>
        </w:rPr>
        <w:t>for implementation</w:t>
      </w:r>
      <w:r w:rsidRPr="00B156C8">
        <w:rPr>
          <w:rFonts w:ascii="Arial" w:hAnsi="Arial" w:cs="Arial"/>
          <w:sz w:val="24"/>
          <w:szCs w:val="24"/>
        </w:rPr>
        <w:t>.  These stakeholder processes should be inclusive and should be used to identify those situations where the use of fuel switching is appropriate, cost-effective, and in the public and consumer interest.  (</w:t>
      </w:r>
      <w:r w:rsidR="00C80862">
        <w:rPr>
          <w:rFonts w:ascii="Arial" w:hAnsi="Arial" w:cs="Arial"/>
          <w:sz w:val="24"/>
          <w:szCs w:val="24"/>
        </w:rPr>
        <w:t xml:space="preserve">OCA </w:t>
      </w:r>
      <w:r w:rsidR="00974B97">
        <w:rPr>
          <w:rFonts w:ascii="Arial" w:hAnsi="Arial" w:cs="Arial"/>
          <w:sz w:val="24"/>
          <w:szCs w:val="24"/>
        </w:rPr>
        <w:t>Reply Comments</w:t>
      </w:r>
      <w:r w:rsidRPr="00B156C8">
        <w:rPr>
          <w:rFonts w:ascii="Arial" w:hAnsi="Arial" w:cs="Arial"/>
          <w:sz w:val="24"/>
          <w:szCs w:val="24"/>
        </w:rPr>
        <w:t xml:space="preserve"> at 2</w:t>
      </w:r>
      <w:r w:rsidR="008F2CB1">
        <w:rPr>
          <w:rFonts w:ascii="Arial" w:hAnsi="Arial" w:cs="Arial"/>
          <w:sz w:val="24"/>
          <w:szCs w:val="24"/>
        </w:rPr>
        <w:t>.</w:t>
      </w:r>
      <w:r w:rsidRPr="00B156C8">
        <w:rPr>
          <w:rFonts w:ascii="Arial" w:hAnsi="Arial" w:cs="Arial"/>
          <w:sz w:val="24"/>
          <w:szCs w:val="24"/>
        </w:rPr>
        <w:t>)</w:t>
      </w:r>
      <w:r w:rsidR="00620BAB">
        <w:rPr>
          <w:rFonts w:ascii="Arial" w:hAnsi="Arial" w:cs="Arial"/>
          <w:sz w:val="24"/>
          <w:szCs w:val="24"/>
        </w:rPr>
        <w:t xml:space="preserve">  </w:t>
      </w:r>
      <w:r w:rsidRPr="00B156C8">
        <w:rPr>
          <w:rFonts w:ascii="Arial" w:hAnsi="Arial" w:cs="Arial"/>
          <w:sz w:val="24"/>
          <w:szCs w:val="24"/>
        </w:rPr>
        <w:t>OCA note</w:t>
      </w:r>
      <w:r w:rsidR="00EB0977">
        <w:rPr>
          <w:rFonts w:ascii="Arial" w:hAnsi="Arial" w:cs="Arial"/>
          <w:sz w:val="24"/>
          <w:szCs w:val="24"/>
        </w:rPr>
        <w:t>s</w:t>
      </w:r>
      <w:r w:rsidRPr="00B156C8">
        <w:rPr>
          <w:rFonts w:ascii="Arial" w:hAnsi="Arial" w:cs="Arial"/>
          <w:sz w:val="24"/>
          <w:szCs w:val="24"/>
        </w:rPr>
        <w:t xml:space="preserve"> that two EDCs, </w:t>
      </w:r>
      <w:r w:rsidRPr="00B156C8">
        <w:rPr>
          <w:rFonts w:ascii="Arial" w:hAnsi="Arial" w:cs="Arial"/>
          <w:sz w:val="24"/>
          <w:szCs w:val="24"/>
        </w:rPr>
        <w:lastRenderedPageBreak/>
        <w:t xml:space="preserve">PECO Energy and PPL, included some targeted fuel switching programs within their </w:t>
      </w:r>
      <w:r w:rsidR="00B849C5">
        <w:rPr>
          <w:rFonts w:ascii="Arial" w:hAnsi="Arial" w:cs="Arial"/>
          <w:sz w:val="24"/>
          <w:szCs w:val="24"/>
        </w:rPr>
        <w:t>EE&amp;C</w:t>
      </w:r>
      <w:r w:rsidRPr="00B156C8">
        <w:rPr>
          <w:rFonts w:ascii="Arial" w:hAnsi="Arial" w:cs="Arial"/>
          <w:sz w:val="24"/>
          <w:szCs w:val="24"/>
        </w:rPr>
        <w:t xml:space="preserve"> </w:t>
      </w:r>
      <w:r w:rsidR="00EB0977">
        <w:rPr>
          <w:rFonts w:ascii="Arial" w:hAnsi="Arial" w:cs="Arial"/>
          <w:sz w:val="24"/>
          <w:szCs w:val="24"/>
        </w:rPr>
        <w:t>p</w:t>
      </w:r>
      <w:r w:rsidRPr="00B156C8">
        <w:rPr>
          <w:rFonts w:ascii="Arial" w:hAnsi="Arial" w:cs="Arial"/>
          <w:sz w:val="24"/>
          <w:szCs w:val="24"/>
        </w:rPr>
        <w:t xml:space="preserve">lans that provide examples of situations where fuel </w:t>
      </w:r>
      <w:r w:rsidRPr="00771F47">
        <w:rPr>
          <w:rFonts w:ascii="Arial" w:hAnsi="Arial" w:cs="Arial"/>
          <w:sz w:val="24"/>
          <w:szCs w:val="24"/>
        </w:rPr>
        <w:t>switching can be used in support of energy efficiency goals.  (</w:t>
      </w:r>
      <w:r w:rsidR="00C80862">
        <w:rPr>
          <w:rFonts w:ascii="Arial" w:hAnsi="Arial" w:cs="Arial"/>
          <w:sz w:val="24"/>
          <w:szCs w:val="24"/>
        </w:rPr>
        <w:t xml:space="preserve">OCA </w:t>
      </w:r>
      <w:r w:rsidR="00974B97">
        <w:rPr>
          <w:rFonts w:ascii="Arial" w:hAnsi="Arial" w:cs="Arial"/>
          <w:sz w:val="24"/>
          <w:szCs w:val="24"/>
        </w:rPr>
        <w:t>Reply Comments</w:t>
      </w:r>
      <w:r w:rsidRPr="00771F47">
        <w:rPr>
          <w:rFonts w:ascii="Arial" w:hAnsi="Arial" w:cs="Arial"/>
          <w:sz w:val="24"/>
          <w:szCs w:val="24"/>
        </w:rPr>
        <w:t xml:space="preserve"> at 2</w:t>
      </w:r>
      <w:r w:rsidR="00B849C5">
        <w:rPr>
          <w:rFonts w:ascii="Arial" w:hAnsi="Arial" w:cs="Arial"/>
          <w:sz w:val="24"/>
          <w:szCs w:val="24"/>
        </w:rPr>
        <w:t xml:space="preserve"> and </w:t>
      </w:r>
      <w:r w:rsidRPr="00771F47">
        <w:rPr>
          <w:rFonts w:ascii="Arial" w:hAnsi="Arial" w:cs="Arial"/>
          <w:sz w:val="24"/>
          <w:szCs w:val="24"/>
        </w:rPr>
        <w:t>3</w:t>
      </w:r>
      <w:r w:rsidR="00620BAB">
        <w:rPr>
          <w:rFonts w:ascii="Arial" w:hAnsi="Arial" w:cs="Arial"/>
          <w:sz w:val="24"/>
          <w:szCs w:val="24"/>
        </w:rPr>
        <w:t>.</w:t>
      </w:r>
      <w:r w:rsidRPr="00771F47">
        <w:rPr>
          <w:rFonts w:ascii="Arial" w:hAnsi="Arial" w:cs="Arial"/>
          <w:sz w:val="24"/>
          <w:szCs w:val="24"/>
        </w:rPr>
        <w:t>)</w:t>
      </w:r>
    </w:p>
    <w:p w:rsidR="00771F47" w:rsidRPr="00771F47" w:rsidRDefault="00771F47" w:rsidP="00406F74">
      <w:pPr>
        <w:spacing w:after="0" w:line="360" w:lineRule="auto"/>
        <w:ind w:firstLine="720"/>
        <w:rPr>
          <w:rFonts w:ascii="Arial" w:hAnsi="Arial" w:cs="Arial"/>
          <w:sz w:val="24"/>
          <w:szCs w:val="24"/>
        </w:rPr>
      </w:pPr>
    </w:p>
    <w:p w:rsidR="00771F47" w:rsidRPr="00E462F5" w:rsidRDefault="00771F47" w:rsidP="00406F74">
      <w:pPr>
        <w:autoSpaceDE w:val="0"/>
        <w:autoSpaceDN w:val="0"/>
        <w:adjustRightInd w:val="0"/>
        <w:spacing w:after="0" w:line="360" w:lineRule="auto"/>
        <w:ind w:firstLine="720"/>
        <w:rPr>
          <w:rFonts w:ascii="Arial" w:hAnsi="Arial" w:cs="Arial"/>
          <w:sz w:val="24"/>
          <w:szCs w:val="24"/>
        </w:rPr>
      </w:pPr>
      <w:r w:rsidRPr="00771F47">
        <w:rPr>
          <w:rFonts w:ascii="Arial" w:hAnsi="Arial" w:cs="Arial"/>
          <w:sz w:val="24"/>
          <w:szCs w:val="24"/>
        </w:rPr>
        <w:t xml:space="preserve">FirstEnergy </w:t>
      </w:r>
      <w:r w:rsidR="00A048A9">
        <w:rPr>
          <w:rFonts w:ascii="Arial" w:hAnsi="Arial" w:cs="Arial"/>
          <w:sz w:val="24"/>
          <w:szCs w:val="24"/>
        </w:rPr>
        <w:t>asse</w:t>
      </w:r>
      <w:r w:rsidR="00B849C5">
        <w:rPr>
          <w:rFonts w:ascii="Arial" w:hAnsi="Arial" w:cs="Arial"/>
          <w:sz w:val="24"/>
          <w:szCs w:val="24"/>
        </w:rPr>
        <w:t>r</w:t>
      </w:r>
      <w:r w:rsidR="00A048A9">
        <w:rPr>
          <w:rFonts w:ascii="Arial" w:hAnsi="Arial" w:cs="Arial"/>
          <w:sz w:val="24"/>
          <w:szCs w:val="24"/>
        </w:rPr>
        <w:t xml:space="preserve">ts that </w:t>
      </w:r>
      <w:r w:rsidRPr="00771F47">
        <w:rPr>
          <w:rFonts w:ascii="Arial" w:hAnsi="Arial" w:cs="Arial"/>
          <w:sz w:val="24"/>
          <w:szCs w:val="24"/>
        </w:rPr>
        <w:t xml:space="preserve">the Commission should continue to </w:t>
      </w:r>
      <w:r w:rsidRPr="00E462F5">
        <w:rPr>
          <w:rFonts w:ascii="Arial" w:hAnsi="Arial" w:cs="Arial"/>
          <w:sz w:val="24"/>
          <w:szCs w:val="24"/>
        </w:rPr>
        <w:t xml:space="preserve">direct that fuel switching programs </w:t>
      </w:r>
      <w:r w:rsidR="00B849C5">
        <w:rPr>
          <w:rFonts w:ascii="Arial" w:hAnsi="Arial" w:cs="Arial"/>
          <w:sz w:val="24"/>
          <w:szCs w:val="24"/>
        </w:rPr>
        <w:t>be</w:t>
      </w:r>
      <w:r w:rsidRPr="00E462F5">
        <w:rPr>
          <w:rFonts w:ascii="Arial" w:hAnsi="Arial" w:cs="Arial"/>
          <w:sz w:val="24"/>
          <w:szCs w:val="24"/>
        </w:rPr>
        <w:t xml:space="preserve"> voluntary and not mandate the inclusion of broad</w:t>
      </w:r>
      <w:r w:rsidR="00EB0977">
        <w:rPr>
          <w:rFonts w:ascii="Arial" w:hAnsi="Arial" w:cs="Arial"/>
          <w:sz w:val="24"/>
          <w:szCs w:val="24"/>
        </w:rPr>
        <w:noBreakHyphen/>
      </w:r>
      <w:r w:rsidRPr="00E462F5">
        <w:rPr>
          <w:rFonts w:ascii="Arial" w:hAnsi="Arial" w:cs="Arial"/>
          <w:sz w:val="24"/>
          <w:szCs w:val="24"/>
        </w:rPr>
        <w:t xml:space="preserve">based fuel switching programs in EE&amp;C </w:t>
      </w:r>
      <w:r w:rsidR="00286093">
        <w:rPr>
          <w:rFonts w:ascii="Arial" w:hAnsi="Arial" w:cs="Arial"/>
          <w:sz w:val="24"/>
          <w:szCs w:val="24"/>
        </w:rPr>
        <w:t>p</w:t>
      </w:r>
      <w:r w:rsidRPr="00E462F5">
        <w:rPr>
          <w:rFonts w:ascii="Arial" w:hAnsi="Arial" w:cs="Arial"/>
          <w:sz w:val="24"/>
          <w:szCs w:val="24"/>
        </w:rPr>
        <w:t xml:space="preserve">lans going forward. </w:t>
      </w:r>
      <w:r w:rsidR="006A4E54">
        <w:rPr>
          <w:rFonts w:ascii="Arial" w:hAnsi="Arial" w:cs="Arial"/>
          <w:sz w:val="24"/>
          <w:szCs w:val="24"/>
        </w:rPr>
        <w:t xml:space="preserve"> </w:t>
      </w:r>
      <w:r w:rsidRPr="00E462F5">
        <w:rPr>
          <w:rFonts w:ascii="Arial" w:hAnsi="Arial" w:cs="Arial"/>
          <w:sz w:val="24"/>
          <w:szCs w:val="24"/>
        </w:rPr>
        <w:t>(</w:t>
      </w:r>
      <w:r w:rsidR="00C80862">
        <w:rPr>
          <w:rFonts w:ascii="Arial" w:hAnsi="Arial" w:cs="Arial"/>
          <w:sz w:val="24"/>
          <w:szCs w:val="24"/>
        </w:rPr>
        <w:t xml:space="preserve">FirstEnergy </w:t>
      </w:r>
      <w:r w:rsidR="00974B97">
        <w:rPr>
          <w:rFonts w:ascii="Arial" w:hAnsi="Arial" w:cs="Arial"/>
          <w:sz w:val="24"/>
          <w:szCs w:val="24"/>
        </w:rPr>
        <w:t>Reply Comments</w:t>
      </w:r>
      <w:r w:rsidRPr="00E462F5">
        <w:rPr>
          <w:rFonts w:ascii="Arial" w:hAnsi="Arial" w:cs="Arial"/>
          <w:sz w:val="24"/>
          <w:szCs w:val="24"/>
        </w:rPr>
        <w:t xml:space="preserve"> at 1</w:t>
      </w:r>
      <w:r w:rsidR="00620BAB">
        <w:rPr>
          <w:rFonts w:ascii="Arial" w:hAnsi="Arial" w:cs="Arial"/>
          <w:sz w:val="24"/>
          <w:szCs w:val="24"/>
        </w:rPr>
        <w:t>.</w:t>
      </w:r>
      <w:r w:rsidRPr="00E462F5">
        <w:rPr>
          <w:rFonts w:ascii="Arial" w:hAnsi="Arial" w:cs="Arial"/>
          <w:sz w:val="24"/>
          <w:szCs w:val="24"/>
        </w:rPr>
        <w:t>)</w:t>
      </w:r>
    </w:p>
    <w:p w:rsidR="00E462F5" w:rsidRPr="00E462F5" w:rsidRDefault="00E462F5" w:rsidP="00406F74">
      <w:pPr>
        <w:autoSpaceDE w:val="0"/>
        <w:autoSpaceDN w:val="0"/>
        <w:adjustRightInd w:val="0"/>
        <w:spacing w:after="0" w:line="360" w:lineRule="auto"/>
        <w:ind w:firstLine="720"/>
        <w:rPr>
          <w:rFonts w:ascii="Arial" w:hAnsi="Arial" w:cs="Arial"/>
          <w:sz w:val="24"/>
          <w:szCs w:val="24"/>
        </w:rPr>
      </w:pPr>
    </w:p>
    <w:p w:rsidR="00E462F5" w:rsidRPr="00C13F3A" w:rsidRDefault="00E462F5" w:rsidP="00406F74">
      <w:pPr>
        <w:pStyle w:val="IEctext1014TNR"/>
        <w:spacing w:line="360" w:lineRule="auto"/>
        <w:ind w:firstLine="720"/>
        <w:rPr>
          <w:rFonts w:ascii="Arial" w:hAnsi="Arial" w:cs="Arial"/>
          <w:sz w:val="24"/>
          <w:szCs w:val="24"/>
        </w:rPr>
      </w:pPr>
      <w:r w:rsidRPr="00E462F5">
        <w:rPr>
          <w:rFonts w:ascii="Arial" w:hAnsi="Arial" w:cs="Arial"/>
          <w:sz w:val="24"/>
          <w:szCs w:val="24"/>
        </w:rPr>
        <w:t>OSBA submits that to the extent the Commission permit</w:t>
      </w:r>
      <w:r w:rsidR="00913E50">
        <w:rPr>
          <w:rFonts w:ascii="Arial" w:hAnsi="Arial" w:cs="Arial"/>
          <w:sz w:val="24"/>
          <w:szCs w:val="24"/>
        </w:rPr>
        <w:t>s</w:t>
      </w:r>
      <w:r w:rsidRPr="00E462F5">
        <w:rPr>
          <w:rFonts w:ascii="Arial" w:hAnsi="Arial" w:cs="Arial"/>
          <w:sz w:val="24"/>
          <w:szCs w:val="24"/>
        </w:rPr>
        <w:t xml:space="preserve"> fuel switching as an option within EE&amp;C plans, it believe</w:t>
      </w:r>
      <w:r w:rsidR="00620BAB">
        <w:rPr>
          <w:rFonts w:ascii="Arial" w:hAnsi="Arial" w:cs="Arial"/>
          <w:sz w:val="24"/>
          <w:szCs w:val="24"/>
        </w:rPr>
        <w:t>s</w:t>
      </w:r>
      <w:r w:rsidRPr="00E462F5">
        <w:rPr>
          <w:rFonts w:ascii="Arial" w:hAnsi="Arial" w:cs="Arial"/>
          <w:sz w:val="24"/>
          <w:szCs w:val="24"/>
        </w:rPr>
        <w:t xml:space="preserve"> that the Commission should </w:t>
      </w:r>
      <w:r w:rsidR="00913E50">
        <w:rPr>
          <w:rFonts w:ascii="Arial" w:hAnsi="Arial" w:cs="Arial"/>
          <w:sz w:val="24"/>
          <w:szCs w:val="24"/>
        </w:rPr>
        <w:t>n</w:t>
      </w:r>
      <w:r w:rsidRPr="00E462F5">
        <w:rPr>
          <w:rFonts w:ascii="Arial" w:hAnsi="Arial" w:cs="Arial"/>
          <w:sz w:val="24"/>
          <w:szCs w:val="24"/>
        </w:rPr>
        <w:t xml:space="preserve">either encourage </w:t>
      </w:r>
      <w:r w:rsidR="00913E50">
        <w:rPr>
          <w:rFonts w:ascii="Arial" w:hAnsi="Arial" w:cs="Arial"/>
          <w:sz w:val="24"/>
          <w:szCs w:val="24"/>
        </w:rPr>
        <w:t>n</w:t>
      </w:r>
      <w:r w:rsidRPr="00E462F5">
        <w:rPr>
          <w:rFonts w:ascii="Arial" w:hAnsi="Arial" w:cs="Arial"/>
          <w:sz w:val="24"/>
          <w:szCs w:val="24"/>
        </w:rPr>
        <w:t xml:space="preserve">or discourage fuel switching.  Instead, each specific fuel switching proposal should </w:t>
      </w:r>
      <w:r w:rsidRPr="00B8567F">
        <w:rPr>
          <w:rFonts w:ascii="Arial" w:hAnsi="Arial" w:cs="Arial"/>
          <w:sz w:val="24"/>
          <w:szCs w:val="24"/>
        </w:rPr>
        <w:t xml:space="preserve">compete against the other potential EE&amp;C programs considered by </w:t>
      </w:r>
      <w:r w:rsidR="00EB0977">
        <w:rPr>
          <w:rFonts w:ascii="Arial" w:hAnsi="Arial" w:cs="Arial"/>
          <w:sz w:val="24"/>
          <w:szCs w:val="24"/>
        </w:rPr>
        <w:t>an</w:t>
      </w:r>
      <w:r w:rsidRPr="00B8567F">
        <w:rPr>
          <w:rFonts w:ascii="Arial" w:hAnsi="Arial" w:cs="Arial"/>
          <w:sz w:val="24"/>
          <w:szCs w:val="24"/>
        </w:rPr>
        <w:t xml:space="preserve"> EDC.  The competition should be based on the TRC test result for the fuel switching proposal in comparison </w:t>
      </w:r>
      <w:r w:rsidR="00913E50">
        <w:rPr>
          <w:rFonts w:ascii="Arial" w:hAnsi="Arial" w:cs="Arial"/>
          <w:sz w:val="24"/>
          <w:szCs w:val="24"/>
        </w:rPr>
        <w:t xml:space="preserve">with </w:t>
      </w:r>
      <w:r w:rsidRPr="00B8567F">
        <w:rPr>
          <w:rFonts w:ascii="Arial" w:hAnsi="Arial" w:cs="Arial"/>
          <w:sz w:val="24"/>
          <w:szCs w:val="24"/>
        </w:rPr>
        <w:t xml:space="preserve">the TRC test results for each of the other potential EE&amp;C programs. </w:t>
      </w:r>
      <w:r w:rsidR="00B8567F" w:rsidRPr="00B8567F">
        <w:rPr>
          <w:rFonts w:ascii="Arial" w:hAnsi="Arial" w:cs="Arial"/>
          <w:sz w:val="24"/>
          <w:szCs w:val="24"/>
        </w:rPr>
        <w:t xml:space="preserve">OSBA supports EDC consideration of fuel switching options on a case-by-case basis, along with the other programs considered by the </w:t>
      </w:r>
      <w:r w:rsidR="00B8567F" w:rsidRPr="00C13F3A">
        <w:rPr>
          <w:rFonts w:ascii="Arial" w:hAnsi="Arial" w:cs="Arial"/>
          <w:sz w:val="24"/>
          <w:szCs w:val="24"/>
        </w:rPr>
        <w:t xml:space="preserve">EDCs as part of their ongoing review of their EE&amp;C plans. </w:t>
      </w:r>
      <w:r w:rsidR="00F032CD">
        <w:rPr>
          <w:rFonts w:ascii="Arial" w:hAnsi="Arial" w:cs="Arial"/>
          <w:sz w:val="24"/>
          <w:szCs w:val="24"/>
        </w:rPr>
        <w:t xml:space="preserve"> </w:t>
      </w:r>
      <w:r w:rsidRPr="00C13F3A">
        <w:rPr>
          <w:rFonts w:ascii="Arial" w:hAnsi="Arial" w:cs="Arial"/>
          <w:sz w:val="24"/>
          <w:szCs w:val="24"/>
        </w:rPr>
        <w:t>(</w:t>
      </w:r>
      <w:r w:rsidR="00C80862">
        <w:rPr>
          <w:rFonts w:ascii="Arial" w:hAnsi="Arial" w:cs="Arial"/>
          <w:sz w:val="24"/>
          <w:szCs w:val="24"/>
        </w:rPr>
        <w:t xml:space="preserve">OSBA </w:t>
      </w:r>
      <w:r w:rsidR="00974B97">
        <w:rPr>
          <w:rFonts w:ascii="Arial" w:hAnsi="Arial" w:cs="Arial"/>
          <w:sz w:val="24"/>
          <w:szCs w:val="24"/>
        </w:rPr>
        <w:t>Reply Comments</w:t>
      </w:r>
      <w:r w:rsidRPr="00C13F3A">
        <w:rPr>
          <w:rFonts w:ascii="Arial" w:hAnsi="Arial" w:cs="Arial"/>
          <w:sz w:val="24"/>
          <w:szCs w:val="24"/>
        </w:rPr>
        <w:t xml:space="preserve"> at 6</w:t>
      </w:r>
      <w:r w:rsidR="00620BAB">
        <w:rPr>
          <w:rFonts w:ascii="Arial" w:hAnsi="Arial" w:cs="Arial"/>
          <w:sz w:val="24"/>
          <w:szCs w:val="24"/>
        </w:rPr>
        <w:t>.</w:t>
      </w:r>
      <w:r w:rsidRPr="00C13F3A">
        <w:rPr>
          <w:rFonts w:ascii="Arial" w:hAnsi="Arial" w:cs="Arial"/>
          <w:sz w:val="24"/>
          <w:szCs w:val="24"/>
        </w:rPr>
        <w:t xml:space="preserve">) </w:t>
      </w:r>
    </w:p>
    <w:p w:rsidR="00C13F3A" w:rsidRPr="00C13F3A" w:rsidRDefault="00C13F3A" w:rsidP="00406F74">
      <w:pPr>
        <w:pStyle w:val="IEctext1014TNR"/>
        <w:spacing w:line="360" w:lineRule="auto"/>
        <w:ind w:firstLine="720"/>
        <w:rPr>
          <w:rFonts w:ascii="Arial" w:hAnsi="Arial" w:cs="Arial"/>
          <w:sz w:val="24"/>
          <w:szCs w:val="24"/>
        </w:rPr>
      </w:pPr>
    </w:p>
    <w:p w:rsidR="00C13F3A" w:rsidRDefault="00C13F3A" w:rsidP="00406F74">
      <w:pPr>
        <w:pStyle w:val="IEctext1014TNR"/>
        <w:spacing w:line="360" w:lineRule="auto"/>
        <w:ind w:firstLine="720"/>
        <w:rPr>
          <w:rFonts w:ascii="Arial" w:hAnsi="Arial" w:cs="Arial"/>
          <w:sz w:val="24"/>
          <w:szCs w:val="24"/>
        </w:rPr>
      </w:pPr>
      <w:r>
        <w:rPr>
          <w:rFonts w:ascii="Arial" w:hAnsi="Arial" w:cs="Arial"/>
          <w:sz w:val="24"/>
          <w:szCs w:val="24"/>
        </w:rPr>
        <w:t xml:space="preserve">Allegheny </w:t>
      </w:r>
      <w:r w:rsidRPr="00C13F3A">
        <w:rPr>
          <w:rFonts w:ascii="Arial" w:hAnsi="Arial" w:cs="Arial"/>
          <w:sz w:val="24"/>
          <w:szCs w:val="24"/>
        </w:rPr>
        <w:t xml:space="preserve">commented that if fuel switching programs are determined to be acceptable by the Commission, the Company strongly believes that fuel switching programs must be voluntary as any other potential program offering and must not be mandated </w:t>
      </w:r>
      <w:r w:rsidR="00111ED7">
        <w:rPr>
          <w:rFonts w:ascii="Arial" w:hAnsi="Arial" w:cs="Arial"/>
          <w:sz w:val="24"/>
          <w:szCs w:val="24"/>
        </w:rPr>
        <w:t xml:space="preserve">to be included </w:t>
      </w:r>
      <w:r w:rsidRPr="00C13F3A">
        <w:rPr>
          <w:rFonts w:ascii="Arial" w:hAnsi="Arial" w:cs="Arial"/>
          <w:sz w:val="24"/>
          <w:szCs w:val="24"/>
        </w:rPr>
        <w:t xml:space="preserve">in the EE&amp;C </w:t>
      </w:r>
      <w:r w:rsidR="00EB0977">
        <w:rPr>
          <w:rFonts w:ascii="Arial" w:hAnsi="Arial" w:cs="Arial"/>
          <w:sz w:val="24"/>
          <w:szCs w:val="24"/>
        </w:rPr>
        <w:t>p</w:t>
      </w:r>
      <w:r w:rsidRPr="00C13F3A">
        <w:rPr>
          <w:rFonts w:ascii="Arial" w:hAnsi="Arial" w:cs="Arial"/>
          <w:sz w:val="24"/>
          <w:szCs w:val="24"/>
        </w:rPr>
        <w:t xml:space="preserve">lans.  </w:t>
      </w:r>
      <w:r w:rsidR="008C294D">
        <w:rPr>
          <w:rFonts w:ascii="Arial" w:hAnsi="Arial" w:cs="Arial"/>
          <w:sz w:val="24"/>
          <w:szCs w:val="24"/>
        </w:rPr>
        <w:t>Allegheny submits that e</w:t>
      </w:r>
      <w:r w:rsidRPr="00C13F3A">
        <w:rPr>
          <w:rFonts w:ascii="Arial" w:hAnsi="Arial" w:cs="Arial"/>
          <w:sz w:val="24"/>
          <w:szCs w:val="24"/>
        </w:rPr>
        <w:t>ach EDC has assembled a portfolio of programs and measures in conjunction with its stakeholders to meet the mandated consumption and demand reduction targets</w:t>
      </w:r>
      <w:r w:rsidR="00F76C12">
        <w:rPr>
          <w:rFonts w:ascii="Arial" w:hAnsi="Arial" w:cs="Arial"/>
          <w:sz w:val="24"/>
          <w:szCs w:val="24"/>
        </w:rPr>
        <w:t xml:space="preserve"> and that a</w:t>
      </w:r>
      <w:r w:rsidRPr="00C13F3A">
        <w:rPr>
          <w:rFonts w:ascii="Arial" w:hAnsi="Arial" w:cs="Arial"/>
          <w:sz w:val="24"/>
          <w:szCs w:val="24"/>
        </w:rPr>
        <w:t xml:space="preserve">ny change to the portfolio must be thoroughly considered to ensure that the EE&amp;C </w:t>
      </w:r>
      <w:r w:rsidR="00286093">
        <w:rPr>
          <w:rFonts w:ascii="Arial" w:hAnsi="Arial" w:cs="Arial"/>
          <w:sz w:val="24"/>
          <w:szCs w:val="24"/>
        </w:rPr>
        <w:t>p</w:t>
      </w:r>
      <w:r w:rsidRPr="00C13F3A">
        <w:rPr>
          <w:rFonts w:ascii="Arial" w:hAnsi="Arial" w:cs="Arial"/>
          <w:sz w:val="24"/>
          <w:szCs w:val="24"/>
        </w:rPr>
        <w:t xml:space="preserve">lan continues to meet all requirements of Act 129. </w:t>
      </w:r>
      <w:r w:rsidR="00F032CD">
        <w:rPr>
          <w:rFonts w:ascii="Arial" w:hAnsi="Arial" w:cs="Arial"/>
          <w:sz w:val="24"/>
          <w:szCs w:val="24"/>
        </w:rPr>
        <w:t xml:space="preserve"> </w:t>
      </w:r>
      <w:r w:rsidRPr="00C13F3A">
        <w:rPr>
          <w:rFonts w:ascii="Arial" w:hAnsi="Arial" w:cs="Arial"/>
          <w:sz w:val="24"/>
          <w:szCs w:val="24"/>
        </w:rPr>
        <w:t>(</w:t>
      </w:r>
      <w:r w:rsidR="00C80862">
        <w:rPr>
          <w:rFonts w:ascii="Arial" w:hAnsi="Arial" w:cs="Arial"/>
          <w:sz w:val="24"/>
          <w:szCs w:val="24"/>
        </w:rPr>
        <w:t xml:space="preserve">Allegheny </w:t>
      </w:r>
      <w:r w:rsidR="00974B97">
        <w:rPr>
          <w:rFonts w:ascii="Arial" w:hAnsi="Arial" w:cs="Arial"/>
          <w:sz w:val="24"/>
          <w:szCs w:val="24"/>
        </w:rPr>
        <w:t>Reply Comments</w:t>
      </w:r>
      <w:r w:rsidRPr="00C13F3A">
        <w:rPr>
          <w:rFonts w:ascii="Arial" w:hAnsi="Arial" w:cs="Arial"/>
          <w:sz w:val="24"/>
          <w:szCs w:val="24"/>
        </w:rPr>
        <w:t xml:space="preserve"> at 1</w:t>
      </w:r>
      <w:r w:rsidR="00620BAB">
        <w:rPr>
          <w:rFonts w:ascii="Arial" w:hAnsi="Arial" w:cs="Arial"/>
          <w:sz w:val="24"/>
          <w:szCs w:val="24"/>
        </w:rPr>
        <w:t>.</w:t>
      </w:r>
      <w:r w:rsidRPr="00C13F3A">
        <w:rPr>
          <w:rFonts w:ascii="Arial" w:hAnsi="Arial" w:cs="Arial"/>
          <w:sz w:val="24"/>
          <w:szCs w:val="24"/>
        </w:rPr>
        <w:t>)</w:t>
      </w:r>
    </w:p>
    <w:p w:rsidR="006F380C" w:rsidRDefault="006F380C" w:rsidP="00406F74">
      <w:pPr>
        <w:pStyle w:val="IEctext1014TNR"/>
        <w:spacing w:line="360" w:lineRule="auto"/>
        <w:ind w:firstLine="720"/>
        <w:rPr>
          <w:rFonts w:ascii="Arial" w:hAnsi="Arial" w:cs="Arial"/>
          <w:sz w:val="24"/>
          <w:szCs w:val="24"/>
        </w:rPr>
      </w:pPr>
    </w:p>
    <w:p w:rsidR="006F380C" w:rsidRDefault="006F380C" w:rsidP="00C80862">
      <w:pPr>
        <w:spacing w:after="0" w:line="360" w:lineRule="auto"/>
        <w:ind w:left="20" w:firstLine="700"/>
        <w:rPr>
          <w:rFonts w:ascii="Arial" w:hAnsi="Arial" w:cs="Arial"/>
          <w:sz w:val="24"/>
          <w:szCs w:val="24"/>
        </w:rPr>
      </w:pPr>
      <w:r w:rsidRPr="006F380C">
        <w:rPr>
          <w:rFonts w:ascii="Arial" w:hAnsi="Arial" w:cs="Arial"/>
          <w:sz w:val="24"/>
          <w:szCs w:val="24"/>
        </w:rPr>
        <w:t xml:space="preserve">PPL believes very strongly that fuel switching, just like any other energy efficiency measure, should be </w:t>
      </w:r>
      <w:r w:rsidR="00F76C12">
        <w:rPr>
          <w:rFonts w:ascii="Arial" w:hAnsi="Arial" w:cs="Arial"/>
          <w:sz w:val="24"/>
          <w:szCs w:val="24"/>
        </w:rPr>
        <w:t>voluntary</w:t>
      </w:r>
      <w:r w:rsidRPr="006F380C">
        <w:rPr>
          <w:rFonts w:ascii="Arial" w:hAnsi="Arial" w:cs="Arial"/>
          <w:sz w:val="24"/>
          <w:szCs w:val="24"/>
        </w:rPr>
        <w:t xml:space="preserve"> for </w:t>
      </w:r>
      <w:r w:rsidR="00F76C12">
        <w:rPr>
          <w:rFonts w:ascii="Arial" w:hAnsi="Arial" w:cs="Arial"/>
          <w:sz w:val="24"/>
          <w:szCs w:val="24"/>
        </w:rPr>
        <w:t>EDCs</w:t>
      </w:r>
      <w:r w:rsidRPr="006F380C">
        <w:rPr>
          <w:rFonts w:ascii="Arial" w:hAnsi="Arial" w:cs="Arial"/>
          <w:sz w:val="24"/>
          <w:szCs w:val="24"/>
        </w:rPr>
        <w:t xml:space="preserve"> as part of their Act 129 </w:t>
      </w:r>
      <w:r w:rsidR="00EB0977">
        <w:rPr>
          <w:rFonts w:ascii="Arial" w:hAnsi="Arial" w:cs="Arial"/>
          <w:sz w:val="24"/>
          <w:szCs w:val="24"/>
        </w:rPr>
        <w:t>EE&amp;C</w:t>
      </w:r>
      <w:r w:rsidRPr="006F380C">
        <w:rPr>
          <w:rFonts w:ascii="Arial" w:hAnsi="Arial" w:cs="Arial"/>
          <w:sz w:val="24"/>
          <w:szCs w:val="24"/>
        </w:rPr>
        <w:t xml:space="preserve"> </w:t>
      </w:r>
      <w:r w:rsidR="00EB0977">
        <w:rPr>
          <w:rFonts w:ascii="Arial" w:hAnsi="Arial" w:cs="Arial"/>
          <w:sz w:val="24"/>
          <w:szCs w:val="24"/>
        </w:rPr>
        <w:t>p</w:t>
      </w:r>
      <w:r w:rsidRPr="006F380C">
        <w:rPr>
          <w:rFonts w:ascii="Arial" w:hAnsi="Arial" w:cs="Arial"/>
          <w:sz w:val="24"/>
          <w:szCs w:val="24"/>
        </w:rPr>
        <w:t>lans.</w:t>
      </w:r>
      <w:r w:rsidR="00F032CD">
        <w:rPr>
          <w:rFonts w:ascii="Arial" w:hAnsi="Arial" w:cs="Arial"/>
          <w:sz w:val="24"/>
          <w:szCs w:val="24"/>
        </w:rPr>
        <w:t xml:space="preserve"> </w:t>
      </w:r>
      <w:r w:rsidRPr="006F380C">
        <w:rPr>
          <w:rFonts w:ascii="Arial" w:hAnsi="Arial" w:cs="Arial"/>
          <w:sz w:val="24"/>
          <w:szCs w:val="24"/>
        </w:rPr>
        <w:t xml:space="preserve"> </w:t>
      </w:r>
      <w:r w:rsidR="00F76C12">
        <w:rPr>
          <w:rFonts w:ascii="Arial" w:hAnsi="Arial" w:cs="Arial"/>
          <w:sz w:val="24"/>
          <w:szCs w:val="24"/>
        </w:rPr>
        <w:t xml:space="preserve">PPL submits that </w:t>
      </w:r>
      <w:r w:rsidRPr="006F380C">
        <w:rPr>
          <w:rFonts w:ascii="Arial" w:hAnsi="Arial" w:cs="Arial"/>
          <w:sz w:val="24"/>
          <w:szCs w:val="24"/>
        </w:rPr>
        <w:t>fuel switching should not be prohibited nor should it be mandatory.</w:t>
      </w:r>
      <w:r w:rsidR="001D675D">
        <w:rPr>
          <w:rFonts w:ascii="Arial" w:hAnsi="Arial" w:cs="Arial"/>
          <w:sz w:val="24"/>
          <w:szCs w:val="24"/>
        </w:rPr>
        <w:t xml:space="preserve">  </w:t>
      </w:r>
      <w:r w:rsidR="00F76C12">
        <w:rPr>
          <w:rFonts w:ascii="Arial" w:hAnsi="Arial" w:cs="Arial"/>
          <w:sz w:val="24"/>
          <w:szCs w:val="24"/>
        </w:rPr>
        <w:t xml:space="preserve">In support, PPL states that </w:t>
      </w:r>
      <w:r w:rsidRPr="006F380C">
        <w:rPr>
          <w:rFonts w:ascii="Arial" w:hAnsi="Arial" w:cs="Arial"/>
          <w:sz w:val="24"/>
          <w:szCs w:val="24"/>
        </w:rPr>
        <w:t xml:space="preserve">Act 129 and the Commission’s </w:t>
      </w:r>
      <w:r w:rsidR="007E5100">
        <w:rPr>
          <w:rFonts w:ascii="Arial" w:hAnsi="Arial" w:cs="Arial"/>
          <w:sz w:val="24"/>
          <w:szCs w:val="24"/>
        </w:rPr>
        <w:t>I</w:t>
      </w:r>
      <w:r w:rsidRPr="006F380C">
        <w:rPr>
          <w:rFonts w:ascii="Arial" w:hAnsi="Arial" w:cs="Arial"/>
          <w:sz w:val="24"/>
          <w:szCs w:val="24"/>
        </w:rPr>
        <w:t xml:space="preserve">mplementation </w:t>
      </w:r>
      <w:r w:rsidR="007E5100">
        <w:rPr>
          <w:rFonts w:ascii="Arial" w:hAnsi="Arial" w:cs="Arial"/>
          <w:sz w:val="24"/>
          <w:szCs w:val="24"/>
        </w:rPr>
        <w:t>O</w:t>
      </w:r>
      <w:r w:rsidRPr="006F380C">
        <w:rPr>
          <w:rFonts w:ascii="Arial" w:hAnsi="Arial" w:cs="Arial"/>
          <w:sz w:val="24"/>
          <w:szCs w:val="24"/>
        </w:rPr>
        <w:t xml:space="preserve">rders do not </w:t>
      </w:r>
      <w:r w:rsidRPr="006F380C">
        <w:rPr>
          <w:rFonts w:ascii="Arial" w:hAnsi="Arial" w:cs="Arial"/>
          <w:sz w:val="24"/>
          <w:szCs w:val="24"/>
        </w:rPr>
        <w:lastRenderedPageBreak/>
        <w:t>mandate the inclusion of any specific measure (</w:t>
      </w:r>
      <w:r w:rsidR="001D675D">
        <w:rPr>
          <w:rFonts w:ascii="Arial" w:hAnsi="Arial" w:cs="Arial"/>
          <w:sz w:val="24"/>
          <w:szCs w:val="24"/>
        </w:rPr>
        <w:t xml:space="preserve">e.g. </w:t>
      </w:r>
      <w:r w:rsidRPr="006F380C">
        <w:rPr>
          <w:rFonts w:ascii="Arial" w:hAnsi="Arial" w:cs="Arial"/>
          <w:sz w:val="24"/>
          <w:szCs w:val="24"/>
        </w:rPr>
        <w:t xml:space="preserve">CFLs, renewable energy, appliance recycling, T8 lighting, high efficiency motors, etc.) in an EDC’s EE&amp;C </w:t>
      </w:r>
      <w:r w:rsidR="00286093">
        <w:rPr>
          <w:rFonts w:ascii="Arial" w:hAnsi="Arial" w:cs="Arial"/>
          <w:sz w:val="24"/>
          <w:szCs w:val="24"/>
        </w:rPr>
        <w:t>p</w:t>
      </w:r>
      <w:r w:rsidRPr="006F380C">
        <w:rPr>
          <w:rFonts w:ascii="Arial" w:hAnsi="Arial" w:cs="Arial"/>
          <w:sz w:val="24"/>
          <w:szCs w:val="24"/>
        </w:rPr>
        <w:t xml:space="preserve">lan.  Each EDC included a mix of energy efficiency measures in its EE&amp;C </w:t>
      </w:r>
      <w:r w:rsidR="00286093">
        <w:rPr>
          <w:rFonts w:ascii="Arial" w:hAnsi="Arial" w:cs="Arial"/>
          <w:sz w:val="24"/>
          <w:szCs w:val="24"/>
        </w:rPr>
        <w:t>p</w:t>
      </w:r>
      <w:r w:rsidRPr="006F380C">
        <w:rPr>
          <w:rFonts w:ascii="Arial" w:hAnsi="Arial" w:cs="Arial"/>
          <w:sz w:val="24"/>
          <w:szCs w:val="24"/>
        </w:rPr>
        <w:t>lan to provide the best opportunity for success, compliance, customer acceptance and satisfaction, and to best balance the objectives of Act 129</w:t>
      </w:r>
      <w:r w:rsidR="001D675D">
        <w:rPr>
          <w:rFonts w:ascii="Arial" w:hAnsi="Arial" w:cs="Arial"/>
          <w:sz w:val="24"/>
          <w:szCs w:val="24"/>
        </w:rPr>
        <w:t>,</w:t>
      </w:r>
      <w:r w:rsidRPr="006F380C">
        <w:rPr>
          <w:rFonts w:ascii="Arial" w:hAnsi="Arial" w:cs="Arial"/>
          <w:sz w:val="24"/>
          <w:szCs w:val="24"/>
        </w:rPr>
        <w:t xml:space="preserve"> including program cost</w:t>
      </w:r>
      <w:r w:rsidR="001D675D">
        <w:rPr>
          <w:rFonts w:ascii="Arial" w:hAnsi="Arial" w:cs="Arial"/>
          <w:sz w:val="24"/>
          <w:szCs w:val="24"/>
        </w:rPr>
        <w:t>s</w:t>
      </w:r>
      <w:r w:rsidRPr="006F380C">
        <w:rPr>
          <w:rFonts w:ascii="Arial" w:hAnsi="Arial" w:cs="Arial"/>
          <w:sz w:val="24"/>
          <w:szCs w:val="24"/>
        </w:rPr>
        <w:t>, energy reduction targets, peak load reduction targets, allocation of cost</w:t>
      </w:r>
      <w:r w:rsidR="001D675D">
        <w:rPr>
          <w:rFonts w:ascii="Arial" w:hAnsi="Arial" w:cs="Arial"/>
          <w:sz w:val="24"/>
          <w:szCs w:val="24"/>
        </w:rPr>
        <w:t>s</w:t>
      </w:r>
      <w:r w:rsidRPr="006F380C">
        <w:rPr>
          <w:rFonts w:ascii="Arial" w:hAnsi="Arial" w:cs="Arial"/>
          <w:sz w:val="24"/>
          <w:szCs w:val="24"/>
        </w:rPr>
        <w:t xml:space="preserve"> and savings among customer sectors, and cost-effectiveness. </w:t>
      </w:r>
      <w:r w:rsidR="00F032CD">
        <w:rPr>
          <w:rFonts w:ascii="Arial" w:hAnsi="Arial" w:cs="Arial"/>
          <w:sz w:val="24"/>
          <w:szCs w:val="24"/>
        </w:rPr>
        <w:t xml:space="preserve"> </w:t>
      </w:r>
      <w:r w:rsidRPr="006F380C">
        <w:rPr>
          <w:rFonts w:ascii="Arial" w:hAnsi="Arial" w:cs="Arial"/>
          <w:sz w:val="24"/>
          <w:szCs w:val="24"/>
        </w:rPr>
        <w:t>(</w:t>
      </w:r>
      <w:r w:rsidR="00C80862">
        <w:rPr>
          <w:rFonts w:ascii="Arial" w:hAnsi="Arial" w:cs="Arial"/>
          <w:sz w:val="24"/>
          <w:szCs w:val="24"/>
        </w:rPr>
        <w:t xml:space="preserve">PPL </w:t>
      </w:r>
      <w:r w:rsidR="00974B97">
        <w:rPr>
          <w:rFonts w:ascii="Arial" w:hAnsi="Arial" w:cs="Arial"/>
          <w:sz w:val="24"/>
          <w:szCs w:val="24"/>
        </w:rPr>
        <w:t>Reply Comments</w:t>
      </w:r>
      <w:r w:rsidRPr="006F380C">
        <w:rPr>
          <w:rFonts w:ascii="Arial" w:hAnsi="Arial" w:cs="Arial"/>
          <w:sz w:val="24"/>
          <w:szCs w:val="24"/>
        </w:rPr>
        <w:t xml:space="preserve"> at 1</w:t>
      </w:r>
      <w:r w:rsidR="001D675D">
        <w:rPr>
          <w:rFonts w:ascii="Arial" w:hAnsi="Arial" w:cs="Arial"/>
          <w:sz w:val="24"/>
          <w:szCs w:val="24"/>
        </w:rPr>
        <w:t>.</w:t>
      </w:r>
      <w:r w:rsidRPr="006F380C">
        <w:rPr>
          <w:rFonts w:ascii="Arial" w:hAnsi="Arial" w:cs="Arial"/>
          <w:sz w:val="24"/>
          <w:szCs w:val="24"/>
        </w:rPr>
        <w:t>)</w:t>
      </w:r>
    </w:p>
    <w:p w:rsidR="00282F3D" w:rsidRDefault="00282F3D" w:rsidP="00406F74">
      <w:pPr>
        <w:spacing w:after="0" w:line="360" w:lineRule="auto"/>
        <w:ind w:left="20" w:firstLine="288"/>
        <w:rPr>
          <w:rFonts w:ascii="Arial" w:hAnsi="Arial" w:cs="Arial"/>
          <w:sz w:val="24"/>
          <w:szCs w:val="24"/>
        </w:rPr>
      </w:pPr>
    </w:p>
    <w:p w:rsidR="00282F3D" w:rsidRPr="00021149" w:rsidRDefault="00282F3D" w:rsidP="00406F74">
      <w:pPr>
        <w:spacing w:after="0" w:line="360" w:lineRule="auto"/>
        <w:ind w:left="20" w:firstLine="288"/>
        <w:rPr>
          <w:rFonts w:ascii="Arial" w:hAnsi="Arial" w:cs="Arial"/>
          <w:sz w:val="24"/>
          <w:szCs w:val="24"/>
          <w:u w:val="single"/>
        </w:rPr>
      </w:pPr>
      <w:r w:rsidRPr="00021149">
        <w:rPr>
          <w:rFonts w:ascii="Arial" w:hAnsi="Arial" w:cs="Arial"/>
          <w:sz w:val="24"/>
          <w:szCs w:val="24"/>
          <w:u w:val="single"/>
        </w:rPr>
        <w:t>Staff Recommendation</w:t>
      </w:r>
    </w:p>
    <w:p w:rsidR="00B5081C" w:rsidRPr="00021149" w:rsidRDefault="00B5081C" w:rsidP="00252A27">
      <w:pPr>
        <w:autoSpaceDE w:val="0"/>
        <w:autoSpaceDN w:val="0"/>
        <w:adjustRightInd w:val="0"/>
        <w:spacing w:after="0" w:line="360" w:lineRule="auto"/>
        <w:ind w:firstLine="720"/>
        <w:rPr>
          <w:rFonts w:ascii="Arial" w:hAnsi="Arial" w:cs="Arial"/>
          <w:sz w:val="24"/>
          <w:szCs w:val="24"/>
        </w:rPr>
      </w:pPr>
    </w:p>
    <w:p w:rsidR="00B5081C" w:rsidRPr="00C21904" w:rsidRDefault="00B5081C" w:rsidP="00B5081C">
      <w:pPr>
        <w:pStyle w:val="ListParagraph"/>
        <w:spacing w:after="0" w:line="360" w:lineRule="auto"/>
        <w:ind w:left="0" w:firstLine="720"/>
        <w:rPr>
          <w:rFonts w:ascii="Arial" w:hAnsi="Arial" w:cs="Arial"/>
          <w:sz w:val="24"/>
          <w:szCs w:val="24"/>
        </w:rPr>
      </w:pPr>
      <w:r w:rsidRPr="00C21904">
        <w:rPr>
          <w:rFonts w:ascii="Arial" w:hAnsi="Arial" w:cs="Arial"/>
          <w:sz w:val="24"/>
          <w:szCs w:val="24"/>
        </w:rPr>
        <w:t xml:space="preserve">Staff </w:t>
      </w:r>
      <w:r w:rsidR="00A048A9" w:rsidRPr="00C21904">
        <w:rPr>
          <w:rFonts w:ascii="Arial" w:hAnsi="Arial" w:cs="Arial"/>
          <w:sz w:val="24"/>
          <w:szCs w:val="24"/>
        </w:rPr>
        <w:t xml:space="preserve">finds the </w:t>
      </w:r>
      <w:r w:rsidR="00494E13" w:rsidRPr="00C21904">
        <w:rPr>
          <w:rFonts w:ascii="Arial" w:hAnsi="Arial" w:cs="Arial"/>
          <w:sz w:val="24"/>
          <w:szCs w:val="24"/>
        </w:rPr>
        <w:t>position</w:t>
      </w:r>
      <w:r w:rsidR="00A048A9" w:rsidRPr="00C21904">
        <w:rPr>
          <w:rFonts w:ascii="Arial" w:hAnsi="Arial" w:cs="Arial"/>
          <w:sz w:val="24"/>
          <w:szCs w:val="24"/>
        </w:rPr>
        <w:t xml:space="preserve"> put forth by OCA, OSBA, FirstEnergy, Allegheny</w:t>
      </w:r>
      <w:r w:rsidR="00BB1B0E" w:rsidRPr="00C21904">
        <w:rPr>
          <w:rFonts w:ascii="Arial" w:hAnsi="Arial" w:cs="Arial"/>
          <w:sz w:val="24"/>
          <w:szCs w:val="24"/>
        </w:rPr>
        <w:t xml:space="preserve"> </w:t>
      </w:r>
      <w:r w:rsidR="00021149" w:rsidRPr="00C21904">
        <w:rPr>
          <w:rFonts w:ascii="Arial" w:hAnsi="Arial" w:cs="Arial"/>
          <w:sz w:val="24"/>
          <w:szCs w:val="24"/>
        </w:rPr>
        <w:t>and</w:t>
      </w:r>
      <w:r w:rsidR="00F76C12" w:rsidRPr="00C21904">
        <w:rPr>
          <w:rFonts w:ascii="Arial" w:hAnsi="Arial" w:cs="Arial"/>
          <w:sz w:val="24"/>
          <w:szCs w:val="24"/>
        </w:rPr>
        <w:t xml:space="preserve"> PPL </w:t>
      </w:r>
      <w:r w:rsidR="00021149" w:rsidRPr="00C21904">
        <w:rPr>
          <w:rFonts w:ascii="Arial" w:hAnsi="Arial" w:cs="Arial"/>
          <w:sz w:val="24"/>
          <w:szCs w:val="24"/>
        </w:rPr>
        <w:t>t</w:t>
      </w:r>
      <w:r w:rsidR="00A048A9" w:rsidRPr="00C21904">
        <w:rPr>
          <w:rFonts w:ascii="Arial" w:hAnsi="Arial" w:cs="Arial"/>
          <w:sz w:val="24"/>
          <w:szCs w:val="24"/>
        </w:rPr>
        <w:t xml:space="preserve">o be persuasive and </w:t>
      </w:r>
      <w:r w:rsidR="00E63EBA" w:rsidRPr="00C21904">
        <w:rPr>
          <w:rFonts w:ascii="Arial" w:hAnsi="Arial" w:cs="Arial"/>
          <w:sz w:val="24"/>
          <w:szCs w:val="24"/>
        </w:rPr>
        <w:t>believes</w:t>
      </w:r>
      <w:r w:rsidRPr="00C21904">
        <w:rPr>
          <w:rFonts w:ascii="Arial" w:hAnsi="Arial" w:cs="Arial"/>
          <w:sz w:val="24"/>
          <w:szCs w:val="24"/>
        </w:rPr>
        <w:t xml:space="preserve"> that</w:t>
      </w:r>
      <w:r w:rsidR="001470B2" w:rsidRPr="00C21904">
        <w:rPr>
          <w:rFonts w:ascii="Arial" w:hAnsi="Arial" w:cs="Arial"/>
          <w:sz w:val="24"/>
          <w:szCs w:val="24"/>
        </w:rPr>
        <w:t xml:space="preserve"> </w:t>
      </w:r>
      <w:r w:rsidR="00E63EBA" w:rsidRPr="00C21904">
        <w:rPr>
          <w:rFonts w:ascii="Arial" w:hAnsi="Arial" w:cs="Arial"/>
          <w:sz w:val="24"/>
          <w:szCs w:val="24"/>
        </w:rPr>
        <w:t>fuel switching measures should be available to EDCs and their stakeholders when considering the best means of achieving energy efficiency goals</w:t>
      </w:r>
      <w:r w:rsidR="001470B2" w:rsidRPr="00C21904">
        <w:rPr>
          <w:rFonts w:ascii="Arial" w:hAnsi="Arial" w:cs="Arial"/>
          <w:sz w:val="24"/>
          <w:szCs w:val="24"/>
        </w:rPr>
        <w:t xml:space="preserve">.  However, </w:t>
      </w:r>
      <w:r w:rsidRPr="00C21904">
        <w:rPr>
          <w:rFonts w:ascii="Arial" w:hAnsi="Arial" w:cs="Arial"/>
          <w:sz w:val="24"/>
          <w:szCs w:val="24"/>
        </w:rPr>
        <w:t>just as no other particular energy efficiency program</w:t>
      </w:r>
      <w:r w:rsidR="001470B2" w:rsidRPr="00C21904">
        <w:rPr>
          <w:rFonts w:ascii="Arial" w:hAnsi="Arial" w:cs="Arial"/>
          <w:sz w:val="24"/>
          <w:szCs w:val="24"/>
        </w:rPr>
        <w:t xml:space="preserve"> or measure</w:t>
      </w:r>
      <w:r w:rsidRPr="00C21904">
        <w:rPr>
          <w:rFonts w:ascii="Arial" w:hAnsi="Arial" w:cs="Arial"/>
          <w:sz w:val="24"/>
          <w:szCs w:val="24"/>
        </w:rPr>
        <w:t xml:space="preserve"> has been mandated for implementation, fuel switching programs should not be mandated </w:t>
      </w:r>
      <w:r w:rsidR="001470B2" w:rsidRPr="00C21904">
        <w:rPr>
          <w:rFonts w:ascii="Arial" w:hAnsi="Arial" w:cs="Arial"/>
          <w:sz w:val="24"/>
          <w:szCs w:val="24"/>
        </w:rPr>
        <w:t>either</w:t>
      </w:r>
      <w:r w:rsidRPr="00C21904">
        <w:rPr>
          <w:rFonts w:ascii="Arial" w:hAnsi="Arial" w:cs="Arial"/>
          <w:sz w:val="24"/>
          <w:szCs w:val="24"/>
        </w:rPr>
        <w:t xml:space="preserve">. </w:t>
      </w:r>
    </w:p>
    <w:p w:rsidR="00B5081C" w:rsidRPr="00C21904" w:rsidRDefault="00B5081C" w:rsidP="00B5081C">
      <w:pPr>
        <w:autoSpaceDE w:val="0"/>
        <w:autoSpaceDN w:val="0"/>
        <w:adjustRightInd w:val="0"/>
        <w:spacing w:after="0" w:line="360" w:lineRule="auto"/>
        <w:ind w:firstLine="720"/>
        <w:rPr>
          <w:rFonts w:ascii="Arial" w:hAnsi="Arial" w:cs="Arial"/>
          <w:sz w:val="24"/>
          <w:szCs w:val="24"/>
        </w:rPr>
      </w:pPr>
    </w:p>
    <w:p w:rsidR="00E462F5" w:rsidRPr="00C21904" w:rsidRDefault="00B5081C" w:rsidP="009C5E24">
      <w:pPr>
        <w:autoSpaceDE w:val="0"/>
        <w:autoSpaceDN w:val="0"/>
        <w:adjustRightInd w:val="0"/>
        <w:spacing w:after="0" w:line="360" w:lineRule="auto"/>
        <w:ind w:firstLine="720"/>
        <w:rPr>
          <w:rFonts w:ascii="Arial" w:hAnsi="Arial" w:cs="Arial"/>
          <w:sz w:val="24"/>
          <w:szCs w:val="24"/>
        </w:rPr>
      </w:pPr>
      <w:r w:rsidRPr="00C21904">
        <w:rPr>
          <w:rFonts w:ascii="Arial" w:hAnsi="Arial" w:cs="Arial"/>
          <w:sz w:val="24"/>
          <w:szCs w:val="24"/>
        </w:rPr>
        <w:t>Staff concurs with OCA</w:t>
      </w:r>
      <w:r w:rsidR="008C294D" w:rsidRPr="00C21904">
        <w:rPr>
          <w:rFonts w:ascii="Arial" w:hAnsi="Arial" w:cs="Arial"/>
          <w:sz w:val="24"/>
          <w:szCs w:val="24"/>
        </w:rPr>
        <w:t xml:space="preserve"> and OSBA </w:t>
      </w:r>
      <w:r w:rsidRPr="00C21904">
        <w:rPr>
          <w:rFonts w:ascii="Arial" w:hAnsi="Arial" w:cs="Arial"/>
          <w:sz w:val="24"/>
          <w:szCs w:val="24"/>
        </w:rPr>
        <w:t xml:space="preserve">that EDCs should address </w:t>
      </w:r>
      <w:r w:rsidR="00C766F0" w:rsidRPr="00C21904">
        <w:rPr>
          <w:rFonts w:ascii="Arial" w:hAnsi="Arial" w:cs="Arial"/>
          <w:sz w:val="24"/>
          <w:szCs w:val="24"/>
        </w:rPr>
        <w:t xml:space="preserve">the design and proposal of </w:t>
      </w:r>
      <w:r w:rsidRPr="00C21904">
        <w:rPr>
          <w:rFonts w:ascii="Arial" w:hAnsi="Arial" w:cs="Arial"/>
          <w:sz w:val="24"/>
          <w:szCs w:val="24"/>
        </w:rPr>
        <w:t xml:space="preserve">fuel switching programs through </w:t>
      </w:r>
      <w:r w:rsidR="00C766F0" w:rsidRPr="00C21904">
        <w:rPr>
          <w:rFonts w:ascii="Arial" w:hAnsi="Arial" w:cs="Arial"/>
          <w:sz w:val="24"/>
          <w:szCs w:val="24"/>
        </w:rPr>
        <w:t>each EDC’s</w:t>
      </w:r>
      <w:r w:rsidRPr="00C21904">
        <w:rPr>
          <w:rFonts w:ascii="Arial" w:hAnsi="Arial" w:cs="Arial"/>
          <w:sz w:val="24"/>
          <w:szCs w:val="24"/>
        </w:rPr>
        <w:t xml:space="preserve"> stakeholder processes along with all other programs </w:t>
      </w:r>
      <w:r w:rsidR="00C766F0" w:rsidRPr="00C21904">
        <w:rPr>
          <w:rFonts w:ascii="Arial" w:hAnsi="Arial" w:cs="Arial"/>
          <w:sz w:val="24"/>
          <w:szCs w:val="24"/>
        </w:rPr>
        <w:t>in</w:t>
      </w:r>
      <w:r w:rsidRPr="00C21904">
        <w:rPr>
          <w:rFonts w:ascii="Arial" w:hAnsi="Arial" w:cs="Arial"/>
          <w:sz w:val="24"/>
          <w:szCs w:val="24"/>
        </w:rPr>
        <w:t xml:space="preserve"> determining </w:t>
      </w:r>
      <w:r w:rsidR="00C766F0" w:rsidRPr="00C21904">
        <w:rPr>
          <w:rFonts w:ascii="Arial" w:hAnsi="Arial" w:cs="Arial"/>
          <w:sz w:val="24"/>
          <w:szCs w:val="24"/>
        </w:rPr>
        <w:t>whether its energy efficiency plans need to be revised to meet the targets mandated by Act 129</w:t>
      </w:r>
      <w:r w:rsidRPr="00C21904">
        <w:rPr>
          <w:rFonts w:ascii="Arial" w:hAnsi="Arial" w:cs="Arial"/>
          <w:sz w:val="24"/>
          <w:szCs w:val="24"/>
        </w:rPr>
        <w:t>.</w:t>
      </w:r>
      <w:r w:rsidR="00C766F0" w:rsidRPr="00C21904">
        <w:rPr>
          <w:rFonts w:ascii="Arial" w:hAnsi="Arial" w:cs="Arial"/>
          <w:sz w:val="24"/>
          <w:szCs w:val="24"/>
        </w:rPr>
        <w:t xml:space="preserve">  Such revisions to an EE&amp;C plan </w:t>
      </w:r>
      <w:r w:rsidR="00F11654">
        <w:rPr>
          <w:rFonts w:ascii="Arial" w:hAnsi="Arial" w:cs="Arial"/>
          <w:sz w:val="24"/>
          <w:szCs w:val="24"/>
        </w:rPr>
        <w:t>must</w:t>
      </w:r>
      <w:r w:rsidR="00C766F0" w:rsidRPr="00C21904">
        <w:rPr>
          <w:rFonts w:ascii="Arial" w:hAnsi="Arial" w:cs="Arial"/>
          <w:sz w:val="24"/>
          <w:szCs w:val="24"/>
        </w:rPr>
        <w:t xml:space="preserve"> be submitted to the Commission for approval</w:t>
      </w:r>
      <w:r w:rsidR="00FD0B0A" w:rsidRPr="00C21904">
        <w:rPr>
          <w:rFonts w:ascii="Arial" w:hAnsi="Arial" w:cs="Arial"/>
          <w:sz w:val="24"/>
          <w:szCs w:val="24"/>
        </w:rPr>
        <w:t xml:space="preserve"> under the processes set forth in the Commission’s </w:t>
      </w:r>
      <w:r w:rsidR="00FD0B0A" w:rsidRPr="00C21904">
        <w:rPr>
          <w:rFonts w:ascii="Arial" w:hAnsi="Arial" w:cs="Arial"/>
          <w:i/>
          <w:sz w:val="24"/>
          <w:szCs w:val="24"/>
        </w:rPr>
        <w:t>Energy Efficiency and Conservation Program Implementation Order</w:t>
      </w:r>
      <w:r w:rsidR="00FD0B0A" w:rsidRPr="00C21904">
        <w:rPr>
          <w:rFonts w:ascii="Arial" w:hAnsi="Arial" w:cs="Arial"/>
          <w:sz w:val="24"/>
          <w:szCs w:val="24"/>
        </w:rPr>
        <w:t>, entered January 16, 2009 at Docket No. M</w:t>
      </w:r>
      <w:r w:rsidR="00FD0B0A" w:rsidRPr="00C21904">
        <w:rPr>
          <w:rFonts w:ascii="Arial" w:hAnsi="Arial" w:cs="Arial"/>
          <w:sz w:val="24"/>
          <w:szCs w:val="24"/>
        </w:rPr>
        <w:noBreakHyphen/>
        <w:t>2</w:t>
      </w:r>
      <w:r w:rsidR="00FA1B96" w:rsidRPr="00C21904">
        <w:rPr>
          <w:rFonts w:ascii="Arial" w:hAnsi="Arial" w:cs="Arial"/>
          <w:sz w:val="24"/>
          <w:szCs w:val="24"/>
        </w:rPr>
        <w:t>00</w:t>
      </w:r>
      <w:r w:rsidR="00FD0B0A" w:rsidRPr="00C21904">
        <w:rPr>
          <w:rFonts w:ascii="Arial" w:hAnsi="Arial" w:cs="Arial"/>
          <w:sz w:val="24"/>
          <w:szCs w:val="24"/>
        </w:rPr>
        <w:t>8</w:t>
      </w:r>
      <w:r w:rsidR="00FD0B0A" w:rsidRPr="00C21904">
        <w:rPr>
          <w:rFonts w:ascii="Arial" w:hAnsi="Arial" w:cs="Arial"/>
          <w:sz w:val="24"/>
          <w:szCs w:val="24"/>
        </w:rPr>
        <w:noBreakHyphen/>
        <w:t>2069887 (</w:t>
      </w:r>
      <w:r w:rsidR="00FD0B0A" w:rsidRPr="00C21904">
        <w:rPr>
          <w:rFonts w:ascii="Arial" w:hAnsi="Arial" w:cs="Arial"/>
          <w:i/>
          <w:sz w:val="24"/>
          <w:szCs w:val="24"/>
        </w:rPr>
        <w:t>Implementation Order</w:t>
      </w:r>
      <w:r w:rsidR="00FD0B0A" w:rsidRPr="00C21904">
        <w:rPr>
          <w:rFonts w:ascii="Arial" w:hAnsi="Arial" w:cs="Arial"/>
          <w:sz w:val="24"/>
          <w:szCs w:val="24"/>
        </w:rPr>
        <w:t>).</w:t>
      </w:r>
      <w:r w:rsidRPr="00C21904">
        <w:rPr>
          <w:rFonts w:ascii="Arial" w:hAnsi="Arial" w:cs="Arial"/>
          <w:sz w:val="24"/>
          <w:szCs w:val="24"/>
        </w:rPr>
        <w:t xml:space="preserve">  </w:t>
      </w:r>
    </w:p>
    <w:p w:rsidR="00B5081C" w:rsidRDefault="00B5081C" w:rsidP="009C5E24">
      <w:pPr>
        <w:autoSpaceDE w:val="0"/>
        <w:autoSpaceDN w:val="0"/>
        <w:adjustRightInd w:val="0"/>
        <w:spacing w:after="0" w:line="360" w:lineRule="auto"/>
        <w:ind w:firstLine="720"/>
        <w:rPr>
          <w:rFonts w:ascii="Arial" w:hAnsi="Arial" w:cs="Arial"/>
          <w:sz w:val="24"/>
          <w:szCs w:val="24"/>
        </w:rPr>
      </w:pPr>
    </w:p>
    <w:p w:rsidR="005412B5" w:rsidRPr="009C5E24" w:rsidRDefault="005412B5" w:rsidP="009C5E24">
      <w:pPr>
        <w:autoSpaceDE w:val="0"/>
        <w:autoSpaceDN w:val="0"/>
        <w:adjustRightInd w:val="0"/>
        <w:spacing w:after="0" w:line="360" w:lineRule="auto"/>
        <w:ind w:firstLine="720"/>
        <w:rPr>
          <w:rFonts w:ascii="Arial" w:hAnsi="Arial" w:cs="Arial"/>
          <w:sz w:val="24"/>
          <w:szCs w:val="24"/>
        </w:rPr>
      </w:pPr>
    </w:p>
    <w:p w:rsidR="005412B5" w:rsidRDefault="005412B5">
      <w:pPr>
        <w:spacing w:after="0" w:line="240" w:lineRule="auto"/>
        <w:rPr>
          <w:rFonts w:ascii="Arial" w:hAnsi="Arial" w:cs="Arial"/>
          <w:sz w:val="24"/>
          <w:szCs w:val="24"/>
          <w:u w:val="single"/>
        </w:rPr>
      </w:pPr>
      <w:r>
        <w:rPr>
          <w:rFonts w:ascii="Arial" w:hAnsi="Arial" w:cs="Arial"/>
          <w:sz w:val="24"/>
          <w:szCs w:val="24"/>
          <w:u w:val="single"/>
        </w:rPr>
        <w:br w:type="page"/>
      </w:r>
    </w:p>
    <w:p w:rsidR="000B6997" w:rsidRPr="009C5E24" w:rsidRDefault="000B6997" w:rsidP="00B40C24">
      <w:pPr>
        <w:pStyle w:val="ListParagraph"/>
        <w:numPr>
          <w:ilvl w:val="0"/>
          <w:numId w:val="6"/>
        </w:numPr>
        <w:spacing w:after="0" w:line="360" w:lineRule="auto"/>
        <w:outlineLvl w:val="1"/>
        <w:rPr>
          <w:rFonts w:ascii="Arial" w:hAnsi="Arial" w:cs="Arial"/>
          <w:sz w:val="24"/>
          <w:szCs w:val="24"/>
          <w:u w:val="single"/>
        </w:rPr>
      </w:pPr>
      <w:bookmarkStart w:id="8" w:name="_Toc260316371"/>
      <w:r w:rsidRPr="009C5E24">
        <w:rPr>
          <w:rFonts w:ascii="Arial" w:hAnsi="Arial" w:cs="Arial"/>
          <w:sz w:val="24"/>
          <w:szCs w:val="24"/>
          <w:u w:val="single"/>
        </w:rPr>
        <w:lastRenderedPageBreak/>
        <w:t>Is it appropriate for electric customers to be subsidizing a conversion</w:t>
      </w:r>
      <w:r w:rsidR="00FA1B96">
        <w:rPr>
          <w:rFonts w:ascii="Arial" w:hAnsi="Arial" w:cs="Arial"/>
          <w:sz w:val="24"/>
          <w:szCs w:val="24"/>
          <w:u w:val="single"/>
        </w:rPr>
        <w:t xml:space="preserve"> from electric to another fuel source</w:t>
      </w:r>
      <w:r w:rsidRPr="009C5E24">
        <w:rPr>
          <w:rFonts w:ascii="Arial" w:hAnsi="Arial" w:cs="Arial"/>
          <w:sz w:val="24"/>
          <w:szCs w:val="24"/>
          <w:u w:val="single"/>
        </w:rPr>
        <w:t>?</w:t>
      </w:r>
      <w:bookmarkEnd w:id="8"/>
    </w:p>
    <w:p w:rsidR="00406F74" w:rsidRPr="009C5E24" w:rsidRDefault="00406F74" w:rsidP="009C5E24">
      <w:pPr>
        <w:pStyle w:val="ListParagraph"/>
        <w:spacing w:after="0" w:line="360" w:lineRule="auto"/>
        <w:ind w:left="0"/>
        <w:rPr>
          <w:rFonts w:ascii="Arial" w:hAnsi="Arial" w:cs="Arial"/>
          <w:sz w:val="24"/>
          <w:szCs w:val="24"/>
        </w:rPr>
      </w:pPr>
    </w:p>
    <w:p w:rsidR="00E27387" w:rsidRPr="009C5E24" w:rsidRDefault="00E27387" w:rsidP="009C5E24">
      <w:pPr>
        <w:spacing w:after="0" w:line="360" w:lineRule="auto"/>
        <w:ind w:firstLine="720"/>
        <w:rPr>
          <w:rFonts w:ascii="Arial" w:hAnsi="Arial" w:cs="Arial"/>
          <w:sz w:val="24"/>
          <w:szCs w:val="24"/>
        </w:rPr>
      </w:pPr>
      <w:r w:rsidRPr="009C5E24">
        <w:rPr>
          <w:rFonts w:ascii="Arial" w:hAnsi="Arial" w:cs="Arial"/>
          <w:sz w:val="24"/>
          <w:szCs w:val="24"/>
        </w:rPr>
        <w:t xml:space="preserve">UGI states that the purpose of Act 129 is not to preserve existing heating market shares for EDCs. </w:t>
      </w:r>
      <w:r w:rsidR="00FA1B96">
        <w:rPr>
          <w:rFonts w:ascii="Arial" w:hAnsi="Arial" w:cs="Arial"/>
          <w:sz w:val="24"/>
          <w:szCs w:val="24"/>
        </w:rPr>
        <w:t xml:space="preserve"> </w:t>
      </w:r>
      <w:r w:rsidRPr="009C5E24">
        <w:rPr>
          <w:rFonts w:ascii="Arial" w:hAnsi="Arial" w:cs="Arial"/>
          <w:sz w:val="24"/>
          <w:szCs w:val="24"/>
        </w:rPr>
        <w:t xml:space="preserve">Instead, “the focus of Act 129 and </w:t>
      </w:r>
      <w:r w:rsidR="00CB3DE9">
        <w:rPr>
          <w:rFonts w:ascii="Arial" w:hAnsi="Arial" w:cs="Arial"/>
          <w:sz w:val="24"/>
          <w:szCs w:val="24"/>
        </w:rPr>
        <w:t xml:space="preserve">the TRC </w:t>
      </w:r>
      <w:r w:rsidR="009A5C33">
        <w:rPr>
          <w:rFonts w:ascii="Arial" w:hAnsi="Arial" w:cs="Arial"/>
          <w:sz w:val="24"/>
          <w:szCs w:val="24"/>
        </w:rPr>
        <w:t>Test</w:t>
      </w:r>
      <w:r w:rsidRPr="009C5E24">
        <w:rPr>
          <w:rFonts w:ascii="Arial" w:hAnsi="Arial" w:cs="Arial"/>
          <w:sz w:val="24"/>
          <w:szCs w:val="24"/>
        </w:rPr>
        <w:t xml:space="preserve"> is not on particular technologies </w:t>
      </w:r>
      <w:r w:rsidRPr="009C5E24">
        <w:rPr>
          <w:rFonts w:ascii="Arial" w:hAnsi="Arial" w:cs="Arial"/>
          <w:sz w:val="24"/>
          <w:szCs w:val="24"/>
          <w:u w:val="single"/>
        </w:rPr>
        <w:t>but rather on bottom line energy efficiency and demand reduction</w:t>
      </w:r>
      <w:r w:rsidRPr="009C5E24">
        <w:rPr>
          <w:rFonts w:ascii="Arial" w:hAnsi="Arial" w:cs="Arial"/>
          <w:sz w:val="24"/>
          <w:szCs w:val="24"/>
        </w:rPr>
        <w:t xml:space="preserve">.” </w:t>
      </w:r>
      <w:r w:rsidR="00FA1B96">
        <w:rPr>
          <w:rFonts w:ascii="Arial" w:hAnsi="Arial" w:cs="Arial"/>
          <w:sz w:val="24"/>
          <w:szCs w:val="24"/>
        </w:rPr>
        <w:t xml:space="preserve"> (UGI Comment at </w:t>
      </w:r>
      <w:r w:rsidR="000369A8">
        <w:rPr>
          <w:rFonts w:ascii="Arial" w:hAnsi="Arial" w:cs="Arial"/>
          <w:sz w:val="24"/>
          <w:szCs w:val="24"/>
        </w:rPr>
        <w:t>4</w:t>
      </w:r>
      <w:r w:rsidR="00FA1B96">
        <w:rPr>
          <w:rFonts w:ascii="Arial" w:hAnsi="Arial" w:cs="Arial"/>
          <w:sz w:val="24"/>
          <w:szCs w:val="24"/>
        </w:rPr>
        <w:t xml:space="preserve"> citing the </w:t>
      </w:r>
      <w:r w:rsidRPr="000369A8">
        <w:rPr>
          <w:rFonts w:ascii="Arial" w:hAnsi="Arial" w:cs="Arial"/>
          <w:i/>
          <w:sz w:val="24"/>
          <w:szCs w:val="24"/>
        </w:rPr>
        <w:t>TRC Order</w:t>
      </w:r>
      <w:r w:rsidR="00FA1B96">
        <w:rPr>
          <w:rFonts w:ascii="Arial" w:hAnsi="Arial" w:cs="Arial"/>
          <w:sz w:val="24"/>
          <w:szCs w:val="24"/>
        </w:rPr>
        <w:t xml:space="preserve"> at</w:t>
      </w:r>
      <w:r w:rsidRPr="009C5E24">
        <w:rPr>
          <w:rFonts w:ascii="Arial" w:hAnsi="Arial" w:cs="Arial"/>
          <w:sz w:val="24"/>
          <w:szCs w:val="24"/>
        </w:rPr>
        <w:t xml:space="preserve"> p. 6</w:t>
      </w:r>
      <w:r w:rsidR="00EE3A3B">
        <w:rPr>
          <w:rFonts w:ascii="Arial" w:hAnsi="Arial" w:cs="Arial"/>
          <w:sz w:val="24"/>
          <w:szCs w:val="24"/>
        </w:rPr>
        <w:t xml:space="preserve"> (emphasis added by UGI).</w:t>
      </w:r>
      <w:r w:rsidR="00FA1B96">
        <w:rPr>
          <w:rFonts w:ascii="Arial" w:hAnsi="Arial" w:cs="Arial"/>
          <w:sz w:val="24"/>
          <w:szCs w:val="24"/>
        </w:rPr>
        <w:t xml:space="preserve">)  </w:t>
      </w:r>
      <w:r w:rsidRPr="009C5E24">
        <w:rPr>
          <w:rFonts w:ascii="Arial" w:hAnsi="Arial" w:cs="Arial"/>
          <w:sz w:val="24"/>
          <w:szCs w:val="24"/>
        </w:rPr>
        <w:t xml:space="preserve">UGI submits that if </w:t>
      </w:r>
      <w:r w:rsidR="00FA1B96">
        <w:rPr>
          <w:rFonts w:ascii="Arial" w:hAnsi="Arial" w:cs="Arial"/>
          <w:sz w:val="24"/>
          <w:szCs w:val="24"/>
        </w:rPr>
        <w:t>NGDCs</w:t>
      </w:r>
      <w:r w:rsidRPr="009C5E24">
        <w:rPr>
          <w:rFonts w:ascii="Arial" w:hAnsi="Arial" w:cs="Arial"/>
          <w:sz w:val="24"/>
          <w:szCs w:val="24"/>
        </w:rPr>
        <w:t xml:space="preserve"> or other alternative energy service providers benefit from increased throughput or sales from a fuel substitution program, it would be because the fuel substitution program is a cost</w:t>
      </w:r>
      <w:r w:rsidR="0041111C">
        <w:rPr>
          <w:rFonts w:ascii="Arial" w:hAnsi="Arial" w:cs="Arial"/>
          <w:sz w:val="24"/>
          <w:szCs w:val="24"/>
        </w:rPr>
        <w:noBreakHyphen/>
      </w:r>
      <w:r w:rsidRPr="009C5E24">
        <w:rPr>
          <w:rFonts w:ascii="Arial" w:hAnsi="Arial" w:cs="Arial"/>
          <w:sz w:val="24"/>
          <w:szCs w:val="24"/>
        </w:rPr>
        <w:t>effective way of promoting conservation and not because they are being unfairly favored.  Stated another way, any benefits to NGDCs or other alternate energy providers would be a fall out, and not the purpose, of a fuel substitution program.</w:t>
      </w:r>
      <w:r w:rsidR="000369A8">
        <w:rPr>
          <w:rFonts w:ascii="Arial" w:hAnsi="Arial" w:cs="Arial"/>
          <w:sz w:val="24"/>
          <w:szCs w:val="24"/>
        </w:rPr>
        <w:t xml:space="preserve">  </w:t>
      </w:r>
      <w:r w:rsidR="000369A8" w:rsidRPr="009C5E24">
        <w:rPr>
          <w:rFonts w:ascii="Arial" w:hAnsi="Arial" w:cs="Arial"/>
          <w:sz w:val="24"/>
          <w:szCs w:val="24"/>
        </w:rPr>
        <w:t>(UGI Reply Comments at 4</w:t>
      </w:r>
      <w:r w:rsidR="000369A8">
        <w:rPr>
          <w:rFonts w:ascii="Arial" w:hAnsi="Arial" w:cs="Arial"/>
          <w:sz w:val="24"/>
          <w:szCs w:val="24"/>
        </w:rPr>
        <w:t>.</w:t>
      </w:r>
      <w:r w:rsidR="000369A8" w:rsidRPr="009C5E24">
        <w:rPr>
          <w:rFonts w:ascii="Arial" w:hAnsi="Arial" w:cs="Arial"/>
          <w:sz w:val="24"/>
          <w:szCs w:val="24"/>
        </w:rPr>
        <w:t>)</w:t>
      </w:r>
    </w:p>
    <w:p w:rsidR="00E27387" w:rsidRPr="009C5E24" w:rsidRDefault="00E27387" w:rsidP="009C5E24">
      <w:pPr>
        <w:spacing w:after="0" w:line="360" w:lineRule="auto"/>
        <w:rPr>
          <w:rFonts w:ascii="Arial" w:hAnsi="Arial" w:cs="Arial"/>
          <w:sz w:val="24"/>
          <w:szCs w:val="24"/>
        </w:rPr>
      </w:pPr>
    </w:p>
    <w:p w:rsidR="00E27387" w:rsidRPr="009C5E24" w:rsidRDefault="00E27387" w:rsidP="009C5E24">
      <w:pPr>
        <w:spacing w:after="0" w:line="360" w:lineRule="auto"/>
        <w:rPr>
          <w:rFonts w:ascii="Arial" w:hAnsi="Arial" w:cs="Arial"/>
          <w:sz w:val="24"/>
          <w:szCs w:val="24"/>
        </w:rPr>
      </w:pPr>
      <w:r w:rsidRPr="009C5E24">
        <w:rPr>
          <w:rFonts w:ascii="Arial" w:hAnsi="Arial" w:cs="Arial"/>
          <w:sz w:val="24"/>
          <w:szCs w:val="24"/>
        </w:rPr>
        <w:tab/>
        <w:t xml:space="preserve">According to UGI, it is fair for EDC customers to fund cost-effective fuel substitution programs. </w:t>
      </w:r>
      <w:r w:rsidR="007025C1">
        <w:rPr>
          <w:rFonts w:ascii="Arial" w:hAnsi="Arial" w:cs="Arial"/>
          <w:sz w:val="24"/>
          <w:szCs w:val="24"/>
        </w:rPr>
        <w:t xml:space="preserve"> </w:t>
      </w:r>
      <w:r w:rsidRPr="009C5E24">
        <w:rPr>
          <w:rFonts w:ascii="Arial" w:hAnsi="Arial" w:cs="Arial"/>
          <w:sz w:val="24"/>
          <w:szCs w:val="24"/>
        </w:rPr>
        <w:t xml:space="preserve">Under Act 129 funding mechanisms, EDC customers will be paying for EE&amp;C </w:t>
      </w:r>
      <w:r w:rsidR="00286093">
        <w:rPr>
          <w:rFonts w:ascii="Arial" w:hAnsi="Arial" w:cs="Arial"/>
          <w:sz w:val="24"/>
          <w:szCs w:val="24"/>
        </w:rPr>
        <w:t>p</w:t>
      </w:r>
      <w:r w:rsidRPr="009C5E24">
        <w:rPr>
          <w:rFonts w:ascii="Arial" w:hAnsi="Arial" w:cs="Arial"/>
          <w:sz w:val="24"/>
          <w:szCs w:val="24"/>
        </w:rPr>
        <w:t>lan programs</w:t>
      </w:r>
      <w:r w:rsidR="00EE3A3B">
        <w:rPr>
          <w:rFonts w:ascii="Arial" w:hAnsi="Arial" w:cs="Arial"/>
          <w:sz w:val="24"/>
          <w:szCs w:val="24"/>
        </w:rPr>
        <w:t>,</w:t>
      </w:r>
      <w:r w:rsidRPr="009C5E24">
        <w:rPr>
          <w:rFonts w:ascii="Arial" w:hAnsi="Arial" w:cs="Arial"/>
          <w:sz w:val="24"/>
          <w:szCs w:val="24"/>
        </w:rPr>
        <w:t xml:space="preserve"> and their interest is in obtaining energy and peak load reductions at least cost, not in how the reduction is ultimately accomplished. </w:t>
      </w:r>
      <w:r w:rsidR="00CB3DE9">
        <w:rPr>
          <w:rFonts w:ascii="Arial" w:hAnsi="Arial" w:cs="Arial"/>
          <w:sz w:val="24"/>
          <w:szCs w:val="24"/>
        </w:rPr>
        <w:t xml:space="preserve"> </w:t>
      </w:r>
      <w:r w:rsidRPr="009C5E24">
        <w:rPr>
          <w:rFonts w:ascii="Arial" w:hAnsi="Arial" w:cs="Arial"/>
          <w:sz w:val="24"/>
          <w:szCs w:val="24"/>
        </w:rPr>
        <w:t>If a fuel substitution program can deliver the required savings at less cost, then EDC customers will benefit.</w:t>
      </w:r>
      <w:r w:rsidR="009A7349">
        <w:rPr>
          <w:rFonts w:ascii="Arial" w:hAnsi="Arial" w:cs="Arial"/>
          <w:sz w:val="24"/>
          <w:szCs w:val="24"/>
        </w:rPr>
        <w:t xml:space="preserve">  </w:t>
      </w:r>
      <w:r w:rsidR="009A3FA5" w:rsidRPr="009C5E24">
        <w:rPr>
          <w:rFonts w:ascii="Arial" w:hAnsi="Arial" w:cs="Arial"/>
          <w:sz w:val="24"/>
          <w:szCs w:val="24"/>
        </w:rPr>
        <w:t>UGI submits that t</w:t>
      </w:r>
      <w:r w:rsidRPr="009C5E24">
        <w:rPr>
          <w:rFonts w:ascii="Arial" w:hAnsi="Arial" w:cs="Arial"/>
          <w:sz w:val="24"/>
          <w:szCs w:val="24"/>
        </w:rPr>
        <w:t xml:space="preserve">he Commission’s task is not to allocate market share to compensate for the impact of policies adopted by the General Assembly, but is instead to implement the policies of the General Assembly. </w:t>
      </w:r>
      <w:r w:rsidR="009A7349">
        <w:rPr>
          <w:rFonts w:ascii="Arial" w:hAnsi="Arial" w:cs="Arial"/>
          <w:sz w:val="24"/>
          <w:szCs w:val="24"/>
        </w:rPr>
        <w:t xml:space="preserve"> </w:t>
      </w:r>
      <w:r w:rsidRPr="009C5E24">
        <w:rPr>
          <w:rFonts w:ascii="Arial" w:hAnsi="Arial" w:cs="Arial"/>
          <w:sz w:val="24"/>
          <w:szCs w:val="24"/>
        </w:rPr>
        <w:t>(UGI Reply Comments at 4</w:t>
      </w:r>
      <w:r w:rsidR="00FF5DF0">
        <w:rPr>
          <w:rFonts w:ascii="Arial" w:hAnsi="Arial" w:cs="Arial"/>
          <w:sz w:val="24"/>
          <w:szCs w:val="24"/>
        </w:rPr>
        <w:t xml:space="preserve"> and </w:t>
      </w:r>
      <w:r w:rsidRPr="009C5E24">
        <w:rPr>
          <w:rFonts w:ascii="Arial" w:hAnsi="Arial" w:cs="Arial"/>
          <w:sz w:val="24"/>
          <w:szCs w:val="24"/>
        </w:rPr>
        <w:t>5</w:t>
      </w:r>
      <w:r w:rsidR="009A7349">
        <w:rPr>
          <w:rFonts w:ascii="Arial" w:hAnsi="Arial" w:cs="Arial"/>
          <w:sz w:val="24"/>
          <w:szCs w:val="24"/>
        </w:rPr>
        <w:t>.</w:t>
      </w:r>
      <w:r w:rsidRPr="009C5E24">
        <w:rPr>
          <w:rFonts w:ascii="Arial" w:hAnsi="Arial" w:cs="Arial"/>
          <w:sz w:val="24"/>
          <w:szCs w:val="24"/>
        </w:rPr>
        <w:t>)</w:t>
      </w:r>
    </w:p>
    <w:p w:rsidR="00E27387" w:rsidRPr="009C5E24" w:rsidRDefault="00E27387" w:rsidP="009C5E24">
      <w:pPr>
        <w:pStyle w:val="ListParagraph"/>
        <w:spacing w:after="0" w:line="360" w:lineRule="auto"/>
        <w:ind w:left="0" w:firstLine="720"/>
        <w:rPr>
          <w:rFonts w:ascii="Arial" w:hAnsi="Arial" w:cs="Arial"/>
          <w:sz w:val="24"/>
          <w:szCs w:val="24"/>
        </w:rPr>
      </w:pPr>
    </w:p>
    <w:p w:rsidR="001724BF" w:rsidRPr="009C5E24" w:rsidRDefault="00E27387" w:rsidP="009C5E24">
      <w:pPr>
        <w:pStyle w:val="ListParagraph"/>
        <w:spacing w:after="0" w:line="360" w:lineRule="auto"/>
        <w:ind w:left="0" w:firstLine="720"/>
        <w:rPr>
          <w:rFonts w:ascii="Arial" w:hAnsi="Arial" w:cs="Arial"/>
          <w:sz w:val="24"/>
          <w:szCs w:val="24"/>
        </w:rPr>
      </w:pPr>
      <w:r w:rsidRPr="009C5E24">
        <w:rPr>
          <w:rFonts w:ascii="Arial" w:hAnsi="Arial" w:cs="Arial"/>
          <w:sz w:val="24"/>
          <w:szCs w:val="24"/>
        </w:rPr>
        <w:t>O</w:t>
      </w:r>
      <w:r w:rsidR="001724BF" w:rsidRPr="009C5E24">
        <w:rPr>
          <w:rFonts w:ascii="Arial" w:hAnsi="Arial" w:cs="Arial"/>
          <w:sz w:val="24"/>
          <w:szCs w:val="24"/>
        </w:rPr>
        <w:t xml:space="preserve">CA states </w:t>
      </w:r>
      <w:r w:rsidR="00021149" w:rsidRPr="009C5E24">
        <w:rPr>
          <w:rFonts w:ascii="Arial" w:hAnsi="Arial" w:cs="Arial"/>
          <w:sz w:val="24"/>
          <w:szCs w:val="24"/>
        </w:rPr>
        <w:t xml:space="preserve">that </w:t>
      </w:r>
      <w:r w:rsidR="001724BF" w:rsidRPr="009C5E24">
        <w:rPr>
          <w:rFonts w:ascii="Arial" w:hAnsi="Arial" w:cs="Arial"/>
          <w:sz w:val="24"/>
          <w:szCs w:val="24"/>
        </w:rPr>
        <w:t>mandat</w:t>
      </w:r>
      <w:r w:rsidR="00021149" w:rsidRPr="009C5E24">
        <w:rPr>
          <w:rFonts w:ascii="Arial" w:hAnsi="Arial" w:cs="Arial"/>
          <w:sz w:val="24"/>
          <w:szCs w:val="24"/>
        </w:rPr>
        <w:t xml:space="preserve">ing fuel switching programs </w:t>
      </w:r>
      <w:r w:rsidR="001724BF" w:rsidRPr="009C5E24">
        <w:rPr>
          <w:rFonts w:ascii="Arial" w:hAnsi="Arial" w:cs="Arial"/>
          <w:sz w:val="24"/>
          <w:szCs w:val="24"/>
        </w:rPr>
        <w:t>could lead to significant question</w:t>
      </w:r>
      <w:r w:rsidR="00EE3A3B">
        <w:rPr>
          <w:rFonts w:ascii="Arial" w:hAnsi="Arial" w:cs="Arial"/>
          <w:sz w:val="24"/>
          <w:szCs w:val="24"/>
        </w:rPr>
        <w:t>s as a mandate</w:t>
      </w:r>
      <w:r w:rsidR="001724BF" w:rsidRPr="009C5E24">
        <w:rPr>
          <w:rFonts w:ascii="Arial" w:hAnsi="Arial" w:cs="Arial"/>
          <w:sz w:val="24"/>
          <w:szCs w:val="24"/>
        </w:rPr>
        <w:t xml:space="preserve"> could require ratepayer dollars of an electric utility to subsidize or support another utility and its growth in load. </w:t>
      </w:r>
      <w:r w:rsidR="00F032CD">
        <w:rPr>
          <w:rFonts w:ascii="Arial" w:hAnsi="Arial" w:cs="Arial"/>
          <w:sz w:val="24"/>
          <w:szCs w:val="24"/>
        </w:rPr>
        <w:t xml:space="preserve"> </w:t>
      </w:r>
      <w:r w:rsidR="001724BF" w:rsidRPr="009C5E24">
        <w:rPr>
          <w:rFonts w:ascii="Arial" w:hAnsi="Arial" w:cs="Arial"/>
          <w:sz w:val="24"/>
          <w:szCs w:val="24"/>
        </w:rPr>
        <w:t>(</w:t>
      </w:r>
      <w:r w:rsidR="00C80862" w:rsidRPr="009C5E24">
        <w:rPr>
          <w:rFonts w:ascii="Arial" w:hAnsi="Arial" w:cs="Arial"/>
          <w:sz w:val="24"/>
          <w:szCs w:val="24"/>
        </w:rPr>
        <w:t xml:space="preserve">OCA </w:t>
      </w:r>
      <w:r w:rsidR="00974B97" w:rsidRPr="009C5E24">
        <w:rPr>
          <w:rFonts w:ascii="Arial" w:hAnsi="Arial" w:cs="Arial"/>
          <w:sz w:val="24"/>
          <w:szCs w:val="24"/>
        </w:rPr>
        <w:t>Reply Comments</w:t>
      </w:r>
      <w:r w:rsidR="001724BF" w:rsidRPr="009C5E24">
        <w:rPr>
          <w:rFonts w:ascii="Arial" w:hAnsi="Arial" w:cs="Arial"/>
          <w:sz w:val="24"/>
          <w:szCs w:val="24"/>
        </w:rPr>
        <w:t xml:space="preserve"> at 2</w:t>
      </w:r>
      <w:r w:rsidR="009A7349">
        <w:rPr>
          <w:rFonts w:ascii="Arial" w:hAnsi="Arial" w:cs="Arial"/>
          <w:sz w:val="24"/>
          <w:szCs w:val="24"/>
        </w:rPr>
        <w:t>.</w:t>
      </w:r>
      <w:r w:rsidR="001724BF" w:rsidRPr="009C5E24">
        <w:rPr>
          <w:rFonts w:ascii="Arial" w:hAnsi="Arial" w:cs="Arial"/>
          <w:sz w:val="24"/>
          <w:szCs w:val="24"/>
        </w:rPr>
        <w:t>)</w:t>
      </w:r>
    </w:p>
    <w:p w:rsidR="00AE03C9" w:rsidRPr="009C5E24" w:rsidRDefault="00AE03C9" w:rsidP="009C5E24">
      <w:pPr>
        <w:pStyle w:val="ListParagraph"/>
        <w:spacing w:after="0" w:line="360" w:lineRule="auto"/>
        <w:ind w:left="0"/>
        <w:rPr>
          <w:rFonts w:ascii="Arial" w:hAnsi="Arial" w:cs="Arial"/>
          <w:sz w:val="24"/>
          <w:szCs w:val="24"/>
        </w:rPr>
      </w:pPr>
    </w:p>
    <w:p w:rsidR="00AE03C9" w:rsidRPr="009C5E24" w:rsidRDefault="00AE03C9" w:rsidP="009C5E24">
      <w:pPr>
        <w:spacing w:after="0" w:line="360" w:lineRule="auto"/>
        <w:ind w:firstLine="720"/>
        <w:rPr>
          <w:rFonts w:ascii="Arial" w:hAnsi="Arial" w:cs="Arial"/>
          <w:sz w:val="24"/>
          <w:szCs w:val="24"/>
        </w:rPr>
      </w:pPr>
      <w:r w:rsidRPr="009C5E24">
        <w:rPr>
          <w:rFonts w:ascii="Arial" w:hAnsi="Arial" w:cs="Arial"/>
          <w:sz w:val="24"/>
          <w:szCs w:val="24"/>
        </w:rPr>
        <w:t>PPL strongly believes that</w:t>
      </w:r>
      <w:r w:rsidR="00F032CD">
        <w:rPr>
          <w:rFonts w:ascii="Arial" w:hAnsi="Arial" w:cs="Arial"/>
          <w:sz w:val="24"/>
          <w:szCs w:val="24"/>
        </w:rPr>
        <w:t xml:space="preserve"> </w:t>
      </w:r>
      <w:r w:rsidRPr="009C5E24">
        <w:rPr>
          <w:rFonts w:ascii="Arial" w:hAnsi="Arial" w:cs="Arial"/>
          <w:sz w:val="24"/>
          <w:szCs w:val="24"/>
        </w:rPr>
        <w:t>EDCs should be permitted to continue to offer incentives for high-efficiency heat pumps, heat pump water heaters, and any other high efficiency electric measure that has an oil</w:t>
      </w:r>
      <w:r w:rsidR="007025C1">
        <w:rPr>
          <w:rFonts w:ascii="Arial" w:hAnsi="Arial" w:cs="Arial"/>
          <w:sz w:val="24"/>
          <w:szCs w:val="24"/>
        </w:rPr>
        <w:t xml:space="preserve">, </w:t>
      </w:r>
      <w:r w:rsidRPr="009C5E24">
        <w:rPr>
          <w:rFonts w:ascii="Arial" w:hAnsi="Arial" w:cs="Arial"/>
          <w:sz w:val="24"/>
          <w:szCs w:val="24"/>
        </w:rPr>
        <w:t>gas</w:t>
      </w:r>
      <w:r w:rsidR="007025C1">
        <w:rPr>
          <w:rFonts w:ascii="Arial" w:hAnsi="Arial" w:cs="Arial"/>
          <w:sz w:val="24"/>
          <w:szCs w:val="24"/>
        </w:rPr>
        <w:t xml:space="preserve"> or </w:t>
      </w:r>
      <w:r w:rsidRPr="009C5E24">
        <w:rPr>
          <w:rFonts w:ascii="Arial" w:hAnsi="Arial" w:cs="Arial"/>
          <w:sz w:val="24"/>
          <w:szCs w:val="24"/>
        </w:rPr>
        <w:t>propane equivalent</w:t>
      </w:r>
      <w:r w:rsidR="004368B0" w:rsidRPr="009C5E24">
        <w:rPr>
          <w:rFonts w:ascii="Arial" w:hAnsi="Arial" w:cs="Arial"/>
          <w:sz w:val="24"/>
          <w:szCs w:val="24"/>
        </w:rPr>
        <w:t xml:space="preserve"> and that these incentives</w:t>
      </w:r>
      <w:r w:rsidRPr="009C5E24">
        <w:rPr>
          <w:rFonts w:ascii="Arial" w:hAnsi="Arial" w:cs="Arial"/>
          <w:sz w:val="24"/>
          <w:szCs w:val="24"/>
        </w:rPr>
        <w:t xml:space="preserve"> do n</w:t>
      </w:r>
      <w:r w:rsidR="007025C1">
        <w:rPr>
          <w:rFonts w:ascii="Arial" w:hAnsi="Arial" w:cs="Arial"/>
          <w:sz w:val="24"/>
          <w:szCs w:val="24"/>
        </w:rPr>
        <w:t xml:space="preserve">ot encourage conversion from </w:t>
      </w:r>
      <w:r w:rsidRPr="009C5E24">
        <w:rPr>
          <w:rFonts w:ascii="Arial" w:hAnsi="Arial" w:cs="Arial"/>
          <w:sz w:val="24"/>
          <w:szCs w:val="24"/>
        </w:rPr>
        <w:t>oil</w:t>
      </w:r>
      <w:r w:rsidR="007025C1">
        <w:rPr>
          <w:rFonts w:ascii="Arial" w:hAnsi="Arial" w:cs="Arial"/>
          <w:sz w:val="24"/>
          <w:szCs w:val="24"/>
        </w:rPr>
        <w:t>, gas or p</w:t>
      </w:r>
      <w:r w:rsidRPr="009C5E24">
        <w:rPr>
          <w:rFonts w:ascii="Arial" w:hAnsi="Arial" w:cs="Arial"/>
          <w:sz w:val="24"/>
          <w:szCs w:val="24"/>
        </w:rPr>
        <w:t xml:space="preserve">ropane.  </w:t>
      </w:r>
      <w:r w:rsidR="004368B0" w:rsidRPr="009C5E24">
        <w:rPr>
          <w:rFonts w:ascii="Arial" w:hAnsi="Arial" w:cs="Arial"/>
          <w:sz w:val="24"/>
          <w:szCs w:val="24"/>
        </w:rPr>
        <w:t>PPL states that it</w:t>
      </w:r>
      <w:r w:rsidRPr="009C5E24">
        <w:rPr>
          <w:rFonts w:ascii="Arial" w:hAnsi="Arial" w:cs="Arial"/>
          <w:sz w:val="24"/>
          <w:szCs w:val="24"/>
        </w:rPr>
        <w:t xml:space="preserve"> </w:t>
      </w:r>
      <w:r w:rsidRPr="009C5E24">
        <w:rPr>
          <w:rFonts w:ascii="Arial" w:hAnsi="Arial" w:cs="Arial"/>
          <w:sz w:val="24"/>
          <w:szCs w:val="24"/>
        </w:rPr>
        <w:lastRenderedPageBreak/>
        <w:t>does not and will not promote conversion from oil</w:t>
      </w:r>
      <w:r w:rsidR="007025C1">
        <w:rPr>
          <w:rFonts w:ascii="Arial" w:hAnsi="Arial" w:cs="Arial"/>
          <w:sz w:val="24"/>
          <w:szCs w:val="24"/>
        </w:rPr>
        <w:t xml:space="preserve">, </w:t>
      </w:r>
      <w:r w:rsidRPr="009C5E24">
        <w:rPr>
          <w:rFonts w:ascii="Arial" w:hAnsi="Arial" w:cs="Arial"/>
          <w:sz w:val="24"/>
          <w:szCs w:val="24"/>
        </w:rPr>
        <w:t>gas</w:t>
      </w:r>
      <w:r w:rsidR="007025C1">
        <w:rPr>
          <w:rFonts w:ascii="Arial" w:hAnsi="Arial" w:cs="Arial"/>
          <w:sz w:val="24"/>
          <w:szCs w:val="24"/>
        </w:rPr>
        <w:t xml:space="preserve"> or </w:t>
      </w:r>
      <w:r w:rsidRPr="009C5E24">
        <w:rPr>
          <w:rFonts w:ascii="Arial" w:hAnsi="Arial" w:cs="Arial"/>
          <w:sz w:val="24"/>
          <w:szCs w:val="24"/>
        </w:rPr>
        <w:t>propane equipment</w:t>
      </w:r>
      <w:r w:rsidR="009A7349">
        <w:rPr>
          <w:rFonts w:ascii="Arial" w:hAnsi="Arial" w:cs="Arial"/>
          <w:sz w:val="24"/>
          <w:szCs w:val="24"/>
        </w:rPr>
        <w:t>, noting that this</w:t>
      </w:r>
      <w:r w:rsidRPr="009C5E24">
        <w:rPr>
          <w:rFonts w:ascii="Arial" w:hAnsi="Arial" w:cs="Arial"/>
          <w:sz w:val="24"/>
          <w:szCs w:val="24"/>
        </w:rPr>
        <w:t xml:space="preserve"> decision is the customer’s</w:t>
      </w:r>
      <w:r w:rsidR="009A7349">
        <w:rPr>
          <w:rFonts w:ascii="Arial" w:hAnsi="Arial" w:cs="Arial"/>
          <w:sz w:val="24"/>
          <w:szCs w:val="24"/>
        </w:rPr>
        <w:t xml:space="preserve"> to make</w:t>
      </w:r>
      <w:r w:rsidRPr="009C5E24">
        <w:rPr>
          <w:rFonts w:ascii="Arial" w:hAnsi="Arial" w:cs="Arial"/>
          <w:sz w:val="24"/>
          <w:szCs w:val="24"/>
        </w:rPr>
        <w:t xml:space="preserve">.  However, once a customer has decided to install a heat pump (in new construction, as a replacement for an old heat pump, to upgrade a heat pump, or to switch from another </w:t>
      </w:r>
      <w:r w:rsidR="009A7349">
        <w:rPr>
          <w:rFonts w:ascii="Arial" w:hAnsi="Arial" w:cs="Arial"/>
          <w:sz w:val="24"/>
          <w:szCs w:val="24"/>
        </w:rPr>
        <w:t>type of heater/air conditioner)</w:t>
      </w:r>
      <w:r w:rsidR="00964DAE">
        <w:rPr>
          <w:rFonts w:ascii="Arial" w:hAnsi="Arial" w:cs="Arial"/>
          <w:sz w:val="24"/>
          <w:szCs w:val="24"/>
        </w:rPr>
        <w:t>,</w:t>
      </w:r>
      <w:r w:rsidRPr="009C5E24">
        <w:rPr>
          <w:rFonts w:ascii="Arial" w:hAnsi="Arial" w:cs="Arial"/>
          <w:sz w:val="24"/>
          <w:szCs w:val="24"/>
        </w:rPr>
        <w:t xml:space="preserve"> </w:t>
      </w:r>
      <w:r w:rsidR="007025C1">
        <w:rPr>
          <w:rFonts w:ascii="Arial" w:hAnsi="Arial" w:cs="Arial"/>
          <w:sz w:val="24"/>
          <w:szCs w:val="24"/>
        </w:rPr>
        <w:t>PPL</w:t>
      </w:r>
      <w:r w:rsidRPr="009C5E24">
        <w:rPr>
          <w:rFonts w:ascii="Arial" w:hAnsi="Arial" w:cs="Arial"/>
          <w:sz w:val="24"/>
          <w:szCs w:val="24"/>
        </w:rPr>
        <w:t xml:space="preserve">’s Act 129 incentives are intended </w:t>
      </w:r>
      <w:r w:rsidR="00F11654">
        <w:rPr>
          <w:rFonts w:ascii="Arial" w:hAnsi="Arial" w:cs="Arial"/>
          <w:noProof/>
          <w:sz w:val="24"/>
          <w:szCs w:val="24"/>
        </w:rPr>
        <w:t xml:space="preserve">only </w:t>
      </w:r>
      <w:r w:rsidRPr="009C5E24">
        <w:rPr>
          <w:rFonts w:ascii="Arial" w:hAnsi="Arial" w:cs="Arial"/>
          <w:sz w:val="24"/>
          <w:szCs w:val="24"/>
        </w:rPr>
        <w:t xml:space="preserve">to encourage the customer to install a higher efficiency heat pump than the customer would have installed in the absence of the </w:t>
      </w:r>
      <w:r w:rsidR="004B6F1C">
        <w:rPr>
          <w:rFonts w:ascii="Arial" w:hAnsi="Arial" w:cs="Arial"/>
          <w:sz w:val="24"/>
          <w:szCs w:val="24"/>
        </w:rPr>
        <w:t>EDC</w:t>
      </w:r>
      <w:r w:rsidRPr="009C5E24">
        <w:rPr>
          <w:rFonts w:ascii="Arial" w:hAnsi="Arial" w:cs="Arial"/>
          <w:sz w:val="24"/>
          <w:szCs w:val="24"/>
        </w:rPr>
        <w:t xml:space="preserve">’s incentives. </w:t>
      </w:r>
      <w:r w:rsidR="009A7349">
        <w:rPr>
          <w:rFonts w:ascii="Arial" w:hAnsi="Arial" w:cs="Arial"/>
          <w:sz w:val="24"/>
          <w:szCs w:val="24"/>
        </w:rPr>
        <w:t xml:space="preserve"> </w:t>
      </w:r>
      <w:r w:rsidRPr="009C5E24">
        <w:rPr>
          <w:rFonts w:ascii="Arial" w:hAnsi="Arial" w:cs="Arial"/>
          <w:sz w:val="24"/>
          <w:szCs w:val="24"/>
        </w:rPr>
        <w:t>(</w:t>
      </w:r>
      <w:r w:rsidR="00C80862" w:rsidRPr="009C5E24">
        <w:rPr>
          <w:rFonts w:ascii="Arial" w:hAnsi="Arial" w:cs="Arial"/>
          <w:sz w:val="24"/>
          <w:szCs w:val="24"/>
        </w:rPr>
        <w:t xml:space="preserve">PPL </w:t>
      </w:r>
      <w:r w:rsidR="00974B97" w:rsidRPr="009C5E24">
        <w:rPr>
          <w:rFonts w:ascii="Arial" w:hAnsi="Arial" w:cs="Arial"/>
          <w:sz w:val="24"/>
          <w:szCs w:val="24"/>
        </w:rPr>
        <w:t>Reply Comments</w:t>
      </w:r>
      <w:r w:rsidRPr="009C5E24">
        <w:rPr>
          <w:rFonts w:ascii="Arial" w:hAnsi="Arial" w:cs="Arial"/>
          <w:sz w:val="24"/>
          <w:szCs w:val="24"/>
        </w:rPr>
        <w:t xml:space="preserve"> at 2</w:t>
      </w:r>
      <w:r w:rsidR="009A7349">
        <w:rPr>
          <w:rFonts w:ascii="Arial" w:hAnsi="Arial" w:cs="Arial"/>
          <w:sz w:val="24"/>
          <w:szCs w:val="24"/>
        </w:rPr>
        <w:t>.</w:t>
      </w:r>
      <w:r w:rsidRPr="009C5E24">
        <w:rPr>
          <w:rFonts w:ascii="Arial" w:hAnsi="Arial" w:cs="Arial"/>
          <w:sz w:val="24"/>
          <w:szCs w:val="24"/>
        </w:rPr>
        <w:t>)</w:t>
      </w:r>
    </w:p>
    <w:p w:rsidR="001A04DD" w:rsidRPr="009C5E24" w:rsidRDefault="001A04DD" w:rsidP="009C5E24">
      <w:pPr>
        <w:spacing w:after="0" w:line="360" w:lineRule="auto"/>
        <w:ind w:firstLine="720"/>
        <w:rPr>
          <w:rFonts w:ascii="Arial" w:hAnsi="Arial" w:cs="Arial"/>
          <w:sz w:val="24"/>
          <w:szCs w:val="24"/>
        </w:rPr>
      </w:pPr>
    </w:p>
    <w:p w:rsidR="001A04DD" w:rsidRPr="009C5E24" w:rsidRDefault="001A04DD" w:rsidP="009C5E24">
      <w:pPr>
        <w:spacing w:after="0" w:line="360" w:lineRule="auto"/>
        <w:ind w:left="20" w:firstLine="288"/>
        <w:rPr>
          <w:rFonts w:ascii="Arial" w:hAnsi="Arial" w:cs="Arial"/>
          <w:sz w:val="24"/>
          <w:szCs w:val="24"/>
          <w:u w:val="single"/>
        </w:rPr>
      </w:pPr>
      <w:r w:rsidRPr="009C5E24">
        <w:rPr>
          <w:rFonts w:ascii="Arial" w:hAnsi="Arial" w:cs="Arial"/>
          <w:sz w:val="24"/>
          <w:szCs w:val="24"/>
          <w:u w:val="single"/>
        </w:rPr>
        <w:t>Staff Recommendation</w:t>
      </w:r>
    </w:p>
    <w:p w:rsidR="00787690" w:rsidRPr="009C5E24" w:rsidRDefault="00787690" w:rsidP="009C5E24">
      <w:pPr>
        <w:spacing w:after="0" w:line="360" w:lineRule="auto"/>
        <w:ind w:firstLine="720"/>
        <w:rPr>
          <w:rFonts w:ascii="Arial" w:hAnsi="Arial" w:cs="Arial"/>
          <w:sz w:val="24"/>
          <w:szCs w:val="24"/>
        </w:rPr>
      </w:pPr>
    </w:p>
    <w:p w:rsidR="001A04DD" w:rsidRPr="00C21904" w:rsidRDefault="00C67BD0" w:rsidP="009C5E24">
      <w:pPr>
        <w:spacing w:after="0" w:line="360" w:lineRule="auto"/>
        <w:ind w:firstLine="720"/>
        <w:rPr>
          <w:rFonts w:ascii="Arial" w:hAnsi="Arial" w:cs="Arial"/>
          <w:sz w:val="24"/>
          <w:szCs w:val="24"/>
        </w:rPr>
      </w:pPr>
      <w:r w:rsidRPr="00C21904">
        <w:rPr>
          <w:rFonts w:ascii="Arial" w:hAnsi="Arial" w:cs="Arial"/>
          <w:sz w:val="24"/>
          <w:szCs w:val="24"/>
        </w:rPr>
        <w:t>Staff agrees with UGI’s position that in so far as fuel switching programs are shown to be a cost</w:t>
      </w:r>
      <w:r w:rsidR="009A7349" w:rsidRPr="00C21904">
        <w:rPr>
          <w:rFonts w:ascii="Arial" w:hAnsi="Arial" w:cs="Arial"/>
          <w:sz w:val="24"/>
          <w:szCs w:val="24"/>
        </w:rPr>
        <w:noBreakHyphen/>
      </w:r>
      <w:r w:rsidRPr="00C21904">
        <w:rPr>
          <w:rFonts w:ascii="Arial" w:hAnsi="Arial" w:cs="Arial"/>
          <w:sz w:val="24"/>
          <w:szCs w:val="24"/>
        </w:rPr>
        <w:t xml:space="preserve">effective means to meet the energy reduction requirements </w:t>
      </w:r>
      <w:r w:rsidR="00185978" w:rsidRPr="00C21904">
        <w:rPr>
          <w:rFonts w:ascii="Arial" w:hAnsi="Arial" w:cs="Arial"/>
          <w:sz w:val="24"/>
          <w:szCs w:val="24"/>
        </w:rPr>
        <w:t xml:space="preserve">of EDCs, there is no reason </w:t>
      </w:r>
      <w:r w:rsidR="006E556B" w:rsidRPr="00C21904">
        <w:rPr>
          <w:rFonts w:ascii="Arial" w:hAnsi="Arial" w:cs="Arial"/>
          <w:sz w:val="24"/>
          <w:szCs w:val="24"/>
        </w:rPr>
        <w:t xml:space="preserve">to preclude </w:t>
      </w:r>
      <w:r w:rsidR="00785E8D" w:rsidRPr="00C21904">
        <w:rPr>
          <w:rFonts w:ascii="Arial" w:hAnsi="Arial" w:cs="Arial"/>
          <w:sz w:val="24"/>
          <w:szCs w:val="24"/>
        </w:rPr>
        <w:t xml:space="preserve">an </w:t>
      </w:r>
      <w:r w:rsidR="006E556B" w:rsidRPr="00C21904">
        <w:rPr>
          <w:rFonts w:ascii="Arial" w:hAnsi="Arial" w:cs="Arial"/>
          <w:sz w:val="24"/>
          <w:szCs w:val="24"/>
        </w:rPr>
        <w:t xml:space="preserve">EDC from offering </w:t>
      </w:r>
      <w:r w:rsidR="00185978" w:rsidRPr="00C21904">
        <w:rPr>
          <w:rFonts w:ascii="Arial" w:hAnsi="Arial" w:cs="Arial"/>
          <w:sz w:val="24"/>
          <w:szCs w:val="24"/>
        </w:rPr>
        <w:t xml:space="preserve">such programs as part of </w:t>
      </w:r>
      <w:r w:rsidR="006E556B" w:rsidRPr="00C21904">
        <w:rPr>
          <w:rFonts w:ascii="Arial" w:hAnsi="Arial" w:cs="Arial"/>
          <w:sz w:val="24"/>
          <w:szCs w:val="24"/>
        </w:rPr>
        <w:t>its</w:t>
      </w:r>
      <w:r w:rsidR="00185978" w:rsidRPr="00C21904">
        <w:rPr>
          <w:rFonts w:ascii="Arial" w:hAnsi="Arial" w:cs="Arial"/>
          <w:sz w:val="24"/>
          <w:szCs w:val="24"/>
        </w:rPr>
        <w:t xml:space="preserve"> EE&amp;C </w:t>
      </w:r>
      <w:r w:rsidR="00964DAE" w:rsidRPr="00C21904">
        <w:rPr>
          <w:rFonts w:ascii="Arial" w:hAnsi="Arial" w:cs="Arial"/>
          <w:sz w:val="24"/>
          <w:szCs w:val="24"/>
        </w:rPr>
        <w:t>p</w:t>
      </w:r>
      <w:r w:rsidR="006E556B" w:rsidRPr="00C21904">
        <w:rPr>
          <w:rFonts w:ascii="Arial" w:hAnsi="Arial" w:cs="Arial"/>
          <w:sz w:val="24"/>
          <w:szCs w:val="24"/>
        </w:rPr>
        <w:t xml:space="preserve">lan </w:t>
      </w:r>
      <w:r w:rsidR="00185978" w:rsidRPr="00C21904">
        <w:rPr>
          <w:rFonts w:ascii="Arial" w:hAnsi="Arial" w:cs="Arial"/>
          <w:sz w:val="24"/>
          <w:szCs w:val="24"/>
        </w:rPr>
        <w:t>portfolio.</w:t>
      </w:r>
      <w:r w:rsidR="009E1C9E" w:rsidRPr="00C21904">
        <w:rPr>
          <w:rFonts w:ascii="Arial" w:hAnsi="Arial" w:cs="Arial"/>
          <w:sz w:val="24"/>
          <w:szCs w:val="24"/>
        </w:rPr>
        <w:t xml:space="preserve">  The decision to implement cost</w:t>
      </w:r>
      <w:r w:rsidR="006E556B" w:rsidRPr="00C21904">
        <w:rPr>
          <w:rFonts w:ascii="Arial" w:hAnsi="Arial" w:cs="Arial"/>
          <w:sz w:val="24"/>
          <w:szCs w:val="24"/>
        </w:rPr>
        <w:noBreakHyphen/>
      </w:r>
      <w:r w:rsidR="009E1C9E" w:rsidRPr="00C21904">
        <w:rPr>
          <w:rFonts w:ascii="Arial" w:hAnsi="Arial" w:cs="Arial"/>
          <w:sz w:val="24"/>
          <w:szCs w:val="24"/>
        </w:rPr>
        <w:t xml:space="preserve">effective fuel switching programs, like other potential modifications to </w:t>
      </w:r>
      <w:r w:rsidR="006E556B" w:rsidRPr="00C21904">
        <w:rPr>
          <w:rFonts w:ascii="Arial" w:hAnsi="Arial" w:cs="Arial"/>
          <w:sz w:val="24"/>
          <w:szCs w:val="24"/>
        </w:rPr>
        <w:t>an</w:t>
      </w:r>
      <w:r w:rsidR="009E1C9E" w:rsidRPr="00C21904">
        <w:rPr>
          <w:rFonts w:ascii="Arial" w:hAnsi="Arial" w:cs="Arial"/>
          <w:sz w:val="24"/>
          <w:szCs w:val="24"/>
        </w:rPr>
        <w:t xml:space="preserve"> EDC</w:t>
      </w:r>
      <w:r w:rsidR="006E556B" w:rsidRPr="00C21904">
        <w:rPr>
          <w:rFonts w:ascii="Arial" w:hAnsi="Arial" w:cs="Arial"/>
          <w:sz w:val="24"/>
          <w:szCs w:val="24"/>
        </w:rPr>
        <w:t>’</w:t>
      </w:r>
      <w:r w:rsidR="009E1C9E" w:rsidRPr="00C21904">
        <w:rPr>
          <w:rFonts w:ascii="Arial" w:hAnsi="Arial" w:cs="Arial"/>
          <w:sz w:val="24"/>
          <w:szCs w:val="24"/>
        </w:rPr>
        <w:t xml:space="preserve">s EE&amp;C </w:t>
      </w:r>
      <w:r w:rsidR="00964DAE" w:rsidRPr="00C21904">
        <w:rPr>
          <w:rFonts w:ascii="Arial" w:hAnsi="Arial" w:cs="Arial"/>
          <w:sz w:val="24"/>
          <w:szCs w:val="24"/>
        </w:rPr>
        <w:t>p</w:t>
      </w:r>
      <w:r w:rsidR="009E1C9E" w:rsidRPr="00C21904">
        <w:rPr>
          <w:rFonts w:ascii="Arial" w:hAnsi="Arial" w:cs="Arial"/>
          <w:sz w:val="24"/>
          <w:szCs w:val="24"/>
        </w:rPr>
        <w:t xml:space="preserve">lan, should be </w:t>
      </w:r>
      <w:r w:rsidR="006E556B" w:rsidRPr="00C21904">
        <w:rPr>
          <w:rFonts w:ascii="Arial" w:hAnsi="Arial" w:cs="Arial"/>
          <w:sz w:val="24"/>
          <w:szCs w:val="24"/>
        </w:rPr>
        <w:t>developed</w:t>
      </w:r>
      <w:r w:rsidR="009E1C9E" w:rsidRPr="00C21904">
        <w:rPr>
          <w:rFonts w:ascii="Arial" w:hAnsi="Arial" w:cs="Arial"/>
          <w:sz w:val="24"/>
          <w:szCs w:val="24"/>
        </w:rPr>
        <w:t xml:space="preserve"> through the stakeholder process</w:t>
      </w:r>
      <w:r w:rsidR="006E556B" w:rsidRPr="00C21904">
        <w:rPr>
          <w:rFonts w:ascii="Arial" w:hAnsi="Arial" w:cs="Arial"/>
          <w:sz w:val="24"/>
          <w:szCs w:val="24"/>
        </w:rPr>
        <w:t xml:space="preserve"> and submitted for Commission approval through the processes set forth in the </w:t>
      </w:r>
      <w:r w:rsidR="006E556B" w:rsidRPr="00C21904">
        <w:rPr>
          <w:rFonts w:ascii="Arial" w:hAnsi="Arial" w:cs="Arial"/>
          <w:i/>
          <w:sz w:val="24"/>
          <w:szCs w:val="24"/>
        </w:rPr>
        <w:t>Implementation Order</w:t>
      </w:r>
      <w:r w:rsidR="00012299" w:rsidRPr="00C21904">
        <w:rPr>
          <w:rFonts w:ascii="Arial" w:hAnsi="Arial" w:cs="Arial"/>
          <w:sz w:val="24"/>
          <w:szCs w:val="24"/>
        </w:rPr>
        <w:t>, where the Commission can determine whether the proposed subsidies are reasonable and in the public interest</w:t>
      </w:r>
      <w:r w:rsidR="009E1C9E" w:rsidRPr="00C21904">
        <w:rPr>
          <w:rFonts w:ascii="Arial" w:hAnsi="Arial" w:cs="Arial"/>
          <w:sz w:val="24"/>
          <w:szCs w:val="24"/>
        </w:rPr>
        <w:t>.</w:t>
      </w:r>
    </w:p>
    <w:p w:rsidR="001A04DD" w:rsidRDefault="001A04DD" w:rsidP="009C5E24">
      <w:pPr>
        <w:pStyle w:val="ListParagraph"/>
        <w:spacing w:after="0" w:line="360" w:lineRule="auto"/>
        <w:ind w:left="0"/>
        <w:rPr>
          <w:rFonts w:ascii="Arial" w:hAnsi="Arial" w:cs="Arial"/>
          <w:sz w:val="24"/>
          <w:szCs w:val="24"/>
        </w:rPr>
      </w:pPr>
    </w:p>
    <w:p w:rsidR="00012299" w:rsidRPr="009C5E24" w:rsidRDefault="00012299" w:rsidP="009C5E24">
      <w:pPr>
        <w:pStyle w:val="ListParagraph"/>
        <w:spacing w:after="0" w:line="360" w:lineRule="auto"/>
        <w:ind w:left="0"/>
        <w:rPr>
          <w:rFonts w:ascii="Arial" w:hAnsi="Arial" w:cs="Arial"/>
          <w:sz w:val="24"/>
          <w:szCs w:val="24"/>
        </w:rPr>
      </w:pPr>
    </w:p>
    <w:p w:rsidR="000B6997" w:rsidRPr="009C5E24" w:rsidRDefault="000B6997" w:rsidP="00B40C24">
      <w:pPr>
        <w:pStyle w:val="ListParagraph"/>
        <w:numPr>
          <w:ilvl w:val="0"/>
          <w:numId w:val="6"/>
        </w:numPr>
        <w:spacing w:after="0" w:line="360" w:lineRule="auto"/>
        <w:outlineLvl w:val="1"/>
        <w:rPr>
          <w:rFonts w:ascii="Arial" w:hAnsi="Arial" w:cs="Arial"/>
          <w:sz w:val="24"/>
          <w:szCs w:val="24"/>
          <w:u w:val="single"/>
        </w:rPr>
      </w:pPr>
      <w:bookmarkStart w:id="9" w:name="_Toc260316372"/>
      <w:r w:rsidRPr="009C5E24">
        <w:rPr>
          <w:rFonts w:ascii="Arial" w:hAnsi="Arial" w:cs="Arial"/>
          <w:sz w:val="24"/>
          <w:szCs w:val="24"/>
          <w:u w:val="single"/>
        </w:rPr>
        <w:t>Is it appropriate in service territories where access to natural gas is not universally accessible?</w:t>
      </w:r>
      <w:bookmarkEnd w:id="9"/>
    </w:p>
    <w:p w:rsidR="00252A27" w:rsidRPr="009C5E24" w:rsidRDefault="00252A27" w:rsidP="009C5E24">
      <w:pPr>
        <w:pStyle w:val="ListParagraph"/>
        <w:spacing w:after="0" w:line="360" w:lineRule="auto"/>
        <w:ind w:left="0"/>
        <w:rPr>
          <w:rFonts w:ascii="Arial" w:hAnsi="Arial" w:cs="Arial"/>
          <w:sz w:val="24"/>
          <w:szCs w:val="24"/>
        </w:rPr>
      </w:pPr>
    </w:p>
    <w:p w:rsidR="000B6997" w:rsidRDefault="00787690" w:rsidP="009C5E24">
      <w:pPr>
        <w:pStyle w:val="ListParagraph"/>
        <w:spacing w:after="0" w:line="360" w:lineRule="auto"/>
        <w:ind w:left="0" w:firstLine="720"/>
        <w:rPr>
          <w:rFonts w:ascii="Arial" w:hAnsi="Arial" w:cs="Arial"/>
          <w:sz w:val="24"/>
          <w:szCs w:val="24"/>
        </w:rPr>
      </w:pPr>
      <w:r w:rsidRPr="009C5E24">
        <w:rPr>
          <w:rFonts w:ascii="Arial" w:hAnsi="Arial" w:cs="Arial"/>
          <w:sz w:val="24"/>
          <w:szCs w:val="24"/>
        </w:rPr>
        <w:t>FirstEnergy states that t</w:t>
      </w:r>
      <w:r w:rsidR="006B7A8A" w:rsidRPr="009C5E24">
        <w:rPr>
          <w:rFonts w:ascii="Arial" w:hAnsi="Arial" w:cs="Arial"/>
          <w:sz w:val="24"/>
          <w:szCs w:val="24"/>
        </w:rPr>
        <w:t xml:space="preserve">he discussion of the potential for fuel switching programs during the February 26, 2010 </w:t>
      </w:r>
      <w:r w:rsidR="00F032CD" w:rsidRPr="009C5E24">
        <w:rPr>
          <w:rFonts w:ascii="Arial" w:hAnsi="Arial" w:cs="Arial"/>
          <w:sz w:val="24"/>
          <w:szCs w:val="24"/>
        </w:rPr>
        <w:t>meeting</w:t>
      </w:r>
      <w:r w:rsidR="006B7A8A" w:rsidRPr="009C5E24">
        <w:rPr>
          <w:rFonts w:ascii="Arial" w:hAnsi="Arial" w:cs="Arial"/>
          <w:sz w:val="24"/>
          <w:szCs w:val="24"/>
        </w:rPr>
        <w:t xml:space="preserve"> indicated that there is uncertainty about the magnitude of the potential for savings that could be realized with a fuel switching program.  The discussion during the meeting indicated that natural gas already has been garnering a major market share in the new construction market. </w:t>
      </w:r>
      <w:r w:rsidR="004B6F1C">
        <w:rPr>
          <w:rFonts w:ascii="Arial" w:hAnsi="Arial" w:cs="Arial"/>
          <w:sz w:val="24"/>
          <w:szCs w:val="24"/>
        </w:rPr>
        <w:t xml:space="preserve"> </w:t>
      </w:r>
      <w:r w:rsidR="006B7A8A" w:rsidRPr="009C5E24">
        <w:rPr>
          <w:rFonts w:ascii="Arial" w:hAnsi="Arial" w:cs="Arial"/>
          <w:sz w:val="24"/>
          <w:szCs w:val="24"/>
        </w:rPr>
        <w:t>The potential savings for fuel switching would</w:t>
      </w:r>
      <w:r w:rsidR="00DC77B5">
        <w:rPr>
          <w:rFonts w:ascii="Arial" w:hAnsi="Arial" w:cs="Arial"/>
          <w:sz w:val="24"/>
          <w:szCs w:val="24"/>
        </w:rPr>
        <w:t>,</w:t>
      </w:r>
      <w:r w:rsidR="006B7A8A" w:rsidRPr="009C5E24">
        <w:rPr>
          <w:rFonts w:ascii="Arial" w:hAnsi="Arial" w:cs="Arial"/>
          <w:sz w:val="24"/>
          <w:szCs w:val="24"/>
        </w:rPr>
        <w:t xml:space="preserve"> therefore</w:t>
      </w:r>
      <w:r w:rsidR="00DC77B5">
        <w:rPr>
          <w:rFonts w:ascii="Arial" w:hAnsi="Arial" w:cs="Arial"/>
          <w:sz w:val="24"/>
          <w:szCs w:val="24"/>
        </w:rPr>
        <w:t>,</w:t>
      </w:r>
      <w:r w:rsidR="006B7A8A" w:rsidRPr="009C5E24">
        <w:rPr>
          <w:rFonts w:ascii="Arial" w:hAnsi="Arial" w:cs="Arial"/>
          <w:sz w:val="24"/>
          <w:szCs w:val="24"/>
        </w:rPr>
        <w:t xml:space="preserve"> come from a change to natural gas use from electricity use for existing homes.  </w:t>
      </w:r>
      <w:r w:rsidR="002F6539" w:rsidRPr="009C5E24">
        <w:rPr>
          <w:rFonts w:ascii="Arial" w:hAnsi="Arial" w:cs="Arial"/>
          <w:sz w:val="24"/>
          <w:szCs w:val="24"/>
        </w:rPr>
        <w:t>According to FirstEnergy, t</w:t>
      </w:r>
      <w:r w:rsidR="006B7A8A" w:rsidRPr="009C5E24">
        <w:rPr>
          <w:rFonts w:ascii="Arial" w:hAnsi="Arial" w:cs="Arial"/>
          <w:sz w:val="24"/>
          <w:szCs w:val="24"/>
        </w:rPr>
        <w:t xml:space="preserve">he number of customers with the ability and desire to switch from electricity to gas is not known.  </w:t>
      </w:r>
      <w:r w:rsidR="002F6539" w:rsidRPr="009C5E24">
        <w:rPr>
          <w:rFonts w:ascii="Arial" w:hAnsi="Arial" w:cs="Arial"/>
          <w:sz w:val="24"/>
          <w:szCs w:val="24"/>
        </w:rPr>
        <w:t xml:space="preserve">FirstEnergy </w:t>
      </w:r>
      <w:r w:rsidR="002F6539" w:rsidRPr="009C5E24">
        <w:rPr>
          <w:rFonts w:ascii="Arial" w:hAnsi="Arial" w:cs="Arial"/>
          <w:sz w:val="24"/>
          <w:szCs w:val="24"/>
        </w:rPr>
        <w:lastRenderedPageBreak/>
        <w:t>believes that c</w:t>
      </w:r>
      <w:r w:rsidR="006B7A8A" w:rsidRPr="009C5E24">
        <w:rPr>
          <w:rFonts w:ascii="Arial" w:hAnsi="Arial" w:cs="Arial"/>
          <w:sz w:val="24"/>
          <w:szCs w:val="24"/>
        </w:rPr>
        <w:t xml:space="preserve">ollecting such information would be appropriate before any fuel switching programs could be reasonably formulated. </w:t>
      </w:r>
      <w:r w:rsidR="00680530">
        <w:rPr>
          <w:rFonts w:ascii="Arial" w:hAnsi="Arial" w:cs="Arial"/>
          <w:sz w:val="24"/>
          <w:szCs w:val="24"/>
        </w:rPr>
        <w:t xml:space="preserve"> </w:t>
      </w:r>
      <w:r w:rsidR="003D4820" w:rsidRPr="009C5E24">
        <w:rPr>
          <w:rFonts w:ascii="Arial" w:hAnsi="Arial" w:cs="Arial"/>
          <w:sz w:val="24"/>
          <w:szCs w:val="24"/>
        </w:rPr>
        <w:t>(</w:t>
      </w:r>
      <w:r w:rsidR="00C80862" w:rsidRPr="009C5E24">
        <w:rPr>
          <w:rFonts w:ascii="Arial" w:hAnsi="Arial" w:cs="Arial"/>
          <w:sz w:val="24"/>
          <w:szCs w:val="24"/>
        </w:rPr>
        <w:t xml:space="preserve">FirstEnergy </w:t>
      </w:r>
      <w:r w:rsidR="00974B97" w:rsidRPr="009C5E24">
        <w:rPr>
          <w:rFonts w:ascii="Arial" w:hAnsi="Arial" w:cs="Arial"/>
          <w:sz w:val="24"/>
          <w:szCs w:val="24"/>
        </w:rPr>
        <w:t>Reply Comments</w:t>
      </w:r>
      <w:r w:rsidR="003D4820" w:rsidRPr="009C5E24">
        <w:rPr>
          <w:rFonts w:ascii="Arial" w:hAnsi="Arial" w:cs="Arial"/>
          <w:sz w:val="24"/>
          <w:szCs w:val="24"/>
        </w:rPr>
        <w:t xml:space="preserve"> at 1</w:t>
      </w:r>
      <w:r w:rsidR="00680530">
        <w:rPr>
          <w:rFonts w:ascii="Arial" w:hAnsi="Arial" w:cs="Arial"/>
          <w:sz w:val="24"/>
          <w:szCs w:val="24"/>
        </w:rPr>
        <w:t>.</w:t>
      </w:r>
      <w:r w:rsidR="005273C1">
        <w:rPr>
          <w:rFonts w:ascii="Arial" w:hAnsi="Arial" w:cs="Arial"/>
          <w:sz w:val="24"/>
          <w:szCs w:val="24"/>
        </w:rPr>
        <w:t>)</w:t>
      </w:r>
    </w:p>
    <w:p w:rsidR="008D4B6D" w:rsidRDefault="008D4B6D" w:rsidP="009C5E24">
      <w:pPr>
        <w:pStyle w:val="ListParagraph"/>
        <w:spacing w:after="0" w:line="360" w:lineRule="auto"/>
        <w:ind w:left="0" w:firstLine="720"/>
        <w:rPr>
          <w:rFonts w:ascii="Arial" w:hAnsi="Arial" w:cs="Arial"/>
          <w:sz w:val="24"/>
          <w:szCs w:val="24"/>
        </w:rPr>
      </w:pPr>
    </w:p>
    <w:p w:rsidR="008D4B6D" w:rsidRPr="009C5E24" w:rsidRDefault="008D4B6D" w:rsidP="009C5E24">
      <w:pPr>
        <w:pStyle w:val="ListParagraph"/>
        <w:spacing w:after="0" w:line="360" w:lineRule="auto"/>
        <w:ind w:left="0" w:firstLine="720"/>
        <w:rPr>
          <w:rFonts w:ascii="Arial" w:hAnsi="Arial" w:cs="Arial"/>
          <w:sz w:val="24"/>
          <w:szCs w:val="24"/>
        </w:rPr>
      </w:pPr>
      <w:r>
        <w:rPr>
          <w:rFonts w:ascii="Arial" w:hAnsi="Arial" w:cs="Arial"/>
          <w:sz w:val="24"/>
          <w:szCs w:val="24"/>
        </w:rPr>
        <w:t>UGI noted in its reply comments that cost</w:t>
      </w:r>
      <w:r>
        <w:rPr>
          <w:rFonts w:ascii="Arial" w:hAnsi="Arial" w:cs="Arial"/>
          <w:sz w:val="24"/>
          <w:szCs w:val="24"/>
        </w:rPr>
        <w:noBreakHyphen/>
        <w:t>effictive fuel substitution programs can supplement existing EDC EE&amp;C programs, with end</w:t>
      </w:r>
      <w:r>
        <w:rPr>
          <w:rFonts w:ascii="Arial" w:hAnsi="Arial" w:cs="Arial"/>
          <w:sz w:val="24"/>
          <w:szCs w:val="24"/>
        </w:rPr>
        <w:noBreakHyphen/>
        <w:t xml:space="preserve">use consumers making the decision as to which programs best suit them.  </w:t>
      </w:r>
      <w:r w:rsidR="005273C1">
        <w:rPr>
          <w:rFonts w:ascii="Arial" w:hAnsi="Arial" w:cs="Arial"/>
          <w:sz w:val="24"/>
          <w:szCs w:val="24"/>
        </w:rPr>
        <w:t xml:space="preserve">UGI also noted that to the extent customers would select a fuel substitution program the savings would be as easy or </w:t>
      </w:r>
      <w:r w:rsidR="00F11654">
        <w:rPr>
          <w:rFonts w:ascii="Arial" w:hAnsi="Arial" w:cs="Arial"/>
          <w:sz w:val="24"/>
          <w:szCs w:val="24"/>
        </w:rPr>
        <w:t>easier</w:t>
      </w:r>
      <w:r w:rsidR="005273C1">
        <w:rPr>
          <w:rFonts w:ascii="Arial" w:hAnsi="Arial" w:cs="Arial"/>
          <w:sz w:val="24"/>
          <w:szCs w:val="24"/>
        </w:rPr>
        <w:t xml:space="preserve"> to verify as other conservation programs proposed by EDCs.  (UGI Reply Comments at 3.)</w:t>
      </w:r>
    </w:p>
    <w:p w:rsidR="001A04DD" w:rsidRDefault="001A04DD" w:rsidP="009C5E24">
      <w:pPr>
        <w:spacing w:after="0" w:line="360" w:lineRule="auto"/>
        <w:ind w:left="20" w:firstLine="288"/>
        <w:rPr>
          <w:rFonts w:ascii="Arial" w:hAnsi="Arial" w:cs="Arial"/>
          <w:sz w:val="24"/>
          <w:szCs w:val="24"/>
          <w:u w:val="single"/>
        </w:rPr>
      </w:pPr>
    </w:p>
    <w:p w:rsidR="001A04DD" w:rsidRPr="009C5E24" w:rsidRDefault="001A04DD" w:rsidP="009C5E24">
      <w:pPr>
        <w:spacing w:after="0" w:line="360" w:lineRule="auto"/>
        <w:ind w:left="20" w:firstLine="288"/>
        <w:rPr>
          <w:rFonts w:ascii="Arial" w:hAnsi="Arial" w:cs="Arial"/>
          <w:sz w:val="24"/>
          <w:szCs w:val="24"/>
          <w:u w:val="single"/>
        </w:rPr>
      </w:pPr>
      <w:r w:rsidRPr="009C5E24">
        <w:rPr>
          <w:rFonts w:ascii="Arial" w:hAnsi="Arial" w:cs="Arial"/>
          <w:sz w:val="24"/>
          <w:szCs w:val="24"/>
          <w:u w:val="single"/>
        </w:rPr>
        <w:t>Staff Recommendation</w:t>
      </w:r>
    </w:p>
    <w:p w:rsidR="006F4719" w:rsidRPr="009C5E24" w:rsidRDefault="006F4719" w:rsidP="009C5E24">
      <w:pPr>
        <w:pStyle w:val="ListParagraph"/>
        <w:spacing w:after="0" w:line="360" w:lineRule="auto"/>
        <w:ind w:left="0" w:firstLine="720"/>
        <w:rPr>
          <w:rFonts w:ascii="Arial" w:hAnsi="Arial" w:cs="Arial"/>
          <w:color w:val="C00000"/>
          <w:sz w:val="24"/>
          <w:szCs w:val="24"/>
        </w:rPr>
      </w:pPr>
    </w:p>
    <w:p w:rsidR="001A04DD" w:rsidRPr="00C21904" w:rsidRDefault="00185978" w:rsidP="009C5E24">
      <w:pPr>
        <w:pStyle w:val="ListParagraph"/>
        <w:spacing w:after="0" w:line="360" w:lineRule="auto"/>
        <w:ind w:left="0" w:firstLine="720"/>
        <w:rPr>
          <w:rFonts w:ascii="Arial" w:hAnsi="Arial" w:cs="Arial"/>
          <w:sz w:val="24"/>
          <w:szCs w:val="24"/>
        </w:rPr>
      </w:pPr>
      <w:r w:rsidRPr="00C21904">
        <w:rPr>
          <w:rFonts w:ascii="Arial" w:hAnsi="Arial" w:cs="Arial"/>
          <w:sz w:val="24"/>
          <w:szCs w:val="24"/>
        </w:rPr>
        <w:t xml:space="preserve">Staff finds that the likely penetration rates of fuel switching programs do not inherently disqualify such programs from being offered by EDCs.  However, staff agrees with FirstEnergy that accurate information regarding the </w:t>
      </w:r>
      <w:r w:rsidR="00320F24" w:rsidRPr="00C21904">
        <w:rPr>
          <w:rFonts w:ascii="Arial" w:hAnsi="Arial" w:cs="Arial"/>
          <w:sz w:val="24"/>
          <w:szCs w:val="24"/>
        </w:rPr>
        <w:t xml:space="preserve">likely adoption of fuel switching programs </w:t>
      </w:r>
      <w:r w:rsidR="00680530" w:rsidRPr="00C21904">
        <w:rPr>
          <w:rFonts w:ascii="Arial" w:hAnsi="Arial" w:cs="Arial"/>
          <w:sz w:val="24"/>
          <w:szCs w:val="24"/>
        </w:rPr>
        <w:t>is</w:t>
      </w:r>
      <w:r w:rsidR="00320F24" w:rsidRPr="00C21904">
        <w:rPr>
          <w:rFonts w:ascii="Arial" w:hAnsi="Arial" w:cs="Arial"/>
          <w:sz w:val="24"/>
          <w:szCs w:val="24"/>
        </w:rPr>
        <w:t xml:space="preserve"> needed to fully assess the cost</w:t>
      </w:r>
      <w:r w:rsidR="00680530" w:rsidRPr="00C21904">
        <w:rPr>
          <w:rFonts w:ascii="Arial" w:hAnsi="Arial" w:cs="Arial"/>
          <w:sz w:val="24"/>
          <w:szCs w:val="24"/>
        </w:rPr>
        <w:noBreakHyphen/>
      </w:r>
      <w:r w:rsidR="00320F24" w:rsidRPr="00C21904">
        <w:rPr>
          <w:rFonts w:ascii="Arial" w:hAnsi="Arial" w:cs="Arial"/>
          <w:sz w:val="24"/>
          <w:szCs w:val="24"/>
        </w:rPr>
        <w:t>effectiveness of such programs.</w:t>
      </w:r>
      <w:r w:rsidR="00680530" w:rsidRPr="00C21904">
        <w:rPr>
          <w:rFonts w:ascii="Arial" w:hAnsi="Arial" w:cs="Arial"/>
          <w:sz w:val="24"/>
          <w:szCs w:val="24"/>
        </w:rPr>
        <w:t xml:space="preserve">  Such evidence would assist the Commission in its review of any proposed fuel switching measures, as </w:t>
      </w:r>
      <w:r w:rsidR="0008295D" w:rsidRPr="00C21904">
        <w:rPr>
          <w:rFonts w:ascii="Arial" w:hAnsi="Arial" w:cs="Arial"/>
          <w:sz w:val="24"/>
          <w:szCs w:val="24"/>
        </w:rPr>
        <w:t>the likel</w:t>
      </w:r>
      <w:r w:rsidR="00785E8D" w:rsidRPr="00C21904">
        <w:rPr>
          <w:rFonts w:ascii="Arial" w:hAnsi="Arial" w:cs="Arial"/>
          <w:sz w:val="24"/>
          <w:szCs w:val="24"/>
        </w:rPr>
        <w:t>i</w:t>
      </w:r>
      <w:r w:rsidR="0008295D" w:rsidRPr="00C21904">
        <w:rPr>
          <w:rFonts w:ascii="Arial" w:hAnsi="Arial" w:cs="Arial"/>
          <w:sz w:val="24"/>
          <w:szCs w:val="24"/>
        </w:rPr>
        <w:t>hood of adoption of such measures by customers is likely to vary by service territory.</w:t>
      </w:r>
    </w:p>
    <w:p w:rsidR="002F6539" w:rsidRDefault="002F6539" w:rsidP="009C5E24">
      <w:pPr>
        <w:pStyle w:val="ListParagraph"/>
        <w:spacing w:after="0" w:line="360" w:lineRule="auto"/>
        <w:ind w:left="0" w:firstLine="720"/>
        <w:rPr>
          <w:rFonts w:ascii="Arial" w:hAnsi="Arial" w:cs="Arial"/>
          <w:sz w:val="24"/>
          <w:szCs w:val="24"/>
        </w:rPr>
      </w:pPr>
    </w:p>
    <w:p w:rsidR="0008295D" w:rsidRPr="009C5E24" w:rsidRDefault="0008295D" w:rsidP="009C5E24">
      <w:pPr>
        <w:pStyle w:val="ListParagraph"/>
        <w:spacing w:after="0" w:line="360" w:lineRule="auto"/>
        <w:ind w:left="0" w:firstLine="720"/>
        <w:rPr>
          <w:rFonts w:ascii="Arial" w:hAnsi="Arial" w:cs="Arial"/>
          <w:sz w:val="24"/>
          <w:szCs w:val="24"/>
        </w:rPr>
      </w:pPr>
    </w:p>
    <w:p w:rsidR="000B6997" w:rsidRPr="009C5E24" w:rsidRDefault="000B6997" w:rsidP="00B40C24">
      <w:pPr>
        <w:pStyle w:val="ListParagraph"/>
        <w:numPr>
          <w:ilvl w:val="0"/>
          <w:numId w:val="6"/>
        </w:numPr>
        <w:spacing w:after="0" w:line="360" w:lineRule="auto"/>
        <w:outlineLvl w:val="1"/>
        <w:rPr>
          <w:rFonts w:ascii="Arial" w:hAnsi="Arial" w:cs="Arial"/>
          <w:sz w:val="24"/>
          <w:szCs w:val="24"/>
          <w:u w:val="single"/>
        </w:rPr>
      </w:pPr>
      <w:bookmarkStart w:id="10" w:name="_Toc260316373"/>
      <w:r w:rsidRPr="009C5E24">
        <w:rPr>
          <w:rFonts w:ascii="Arial" w:hAnsi="Arial" w:cs="Arial"/>
          <w:sz w:val="24"/>
          <w:szCs w:val="24"/>
          <w:u w:val="single"/>
        </w:rPr>
        <w:t>If permitted, should there be a cap on the level of subsidy provided</w:t>
      </w:r>
      <w:r w:rsidR="00DC77B5">
        <w:rPr>
          <w:rFonts w:ascii="Arial" w:hAnsi="Arial" w:cs="Arial"/>
          <w:sz w:val="24"/>
          <w:szCs w:val="24"/>
          <w:u w:val="single"/>
        </w:rPr>
        <w:t>;</w:t>
      </w:r>
      <w:r w:rsidRPr="009C5E24">
        <w:rPr>
          <w:rFonts w:ascii="Arial" w:hAnsi="Arial" w:cs="Arial"/>
          <w:sz w:val="24"/>
          <w:szCs w:val="24"/>
          <w:u w:val="single"/>
        </w:rPr>
        <w:t xml:space="preserve"> if so, what should that cap be?</w:t>
      </w:r>
      <w:bookmarkEnd w:id="10"/>
    </w:p>
    <w:p w:rsidR="00D22297" w:rsidRPr="009C5E24" w:rsidRDefault="00D22297" w:rsidP="009C5E24">
      <w:pPr>
        <w:pStyle w:val="ListParagraph"/>
        <w:spacing w:after="0" w:line="360" w:lineRule="auto"/>
        <w:rPr>
          <w:rFonts w:ascii="Arial" w:hAnsi="Arial" w:cs="Arial"/>
          <w:sz w:val="24"/>
          <w:szCs w:val="24"/>
        </w:rPr>
      </w:pPr>
    </w:p>
    <w:p w:rsidR="00EE0D62" w:rsidRDefault="003D4820" w:rsidP="009C5E24">
      <w:pPr>
        <w:pStyle w:val="ListParagraph"/>
        <w:spacing w:after="0" w:line="360" w:lineRule="auto"/>
        <w:ind w:left="0" w:firstLine="720"/>
        <w:rPr>
          <w:rFonts w:ascii="Arial" w:hAnsi="Arial" w:cs="Arial"/>
          <w:sz w:val="24"/>
          <w:szCs w:val="24"/>
        </w:rPr>
      </w:pPr>
      <w:r w:rsidRPr="009C5E24">
        <w:rPr>
          <w:rFonts w:ascii="Arial" w:hAnsi="Arial" w:cs="Arial"/>
          <w:sz w:val="24"/>
          <w:szCs w:val="24"/>
        </w:rPr>
        <w:t>F</w:t>
      </w:r>
      <w:r w:rsidR="00BB1B0E" w:rsidRPr="009C5E24">
        <w:rPr>
          <w:rFonts w:ascii="Arial" w:hAnsi="Arial" w:cs="Arial"/>
          <w:sz w:val="24"/>
          <w:szCs w:val="24"/>
        </w:rPr>
        <w:t>irstEnergy</w:t>
      </w:r>
      <w:r w:rsidRPr="009C5E24">
        <w:rPr>
          <w:rFonts w:ascii="Arial" w:hAnsi="Arial" w:cs="Arial"/>
          <w:sz w:val="24"/>
          <w:szCs w:val="24"/>
        </w:rPr>
        <w:t xml:space="preserve"> states that another topic of concern regarding fuel switching programs pertains to the incentives that would need to be offered to households.  In the analysis presented in FirstEnergy’s comments of February 12, 2010, it was shown that the payback from a customer’s perspective for switching from electricity to natural gas for water heating was less than six months.  Thus, incentives to promote electric to natural gas fuel switching for water heating may not be needed. </w:t>
      </w:r>
      <w:r w:rsidR="00CF7047">
        <w:rPr>
          <w:rFonts w:ascii="Arial" w:hAnsi="Arial" w:cs="Arial"/>
          <w:sz w:val="24"/>
          <w:szCs w:val="24"/>
        </w:rPr>
        <w:t xml:space="preserve"> </w:t>
      </w:r>
      <w:r w:rsidRPr="009C5E24">
        <w:rPr>
          <w:rFonts w:ascii="Arial" w:hAnsi="Arial" w:cs="Arial"/>
          <w:sz w:val="24"/>
          <w:szCs w:val="24"/>
        </w:rPr>
        <w:t xml:space="preserve">On the other hand, based on the numbers used for the space heating cost-benefit analysis, the payback </w:t>
      </w:r>
      <w:r w:rsidRPr="009C5E24">
        <w:rPr>
          <w:rFonts w:ascii="Arial" w:hAnsi="Arial" w:cs="Arial"/>
          <w:sz w:val="24"/>
          <w:szCs w:val="24"/>
        </w:rPr>
        <w:lastRenderedPageBreak/>
        <w:t xml:space="preserve">from a customer’s perspective </w:t>
      </w:r>
      <w:r w:rsidR="0008295D">
        <w:rPr>
          <w:rFonts w:ascii="Arial" w:hAnsi="Arial" w:cs="Arial"/>
          <w:sz w:val="24"/>
          <w:szCs w:val="24"/>
        </w:rPr>
        <w:t>for</w:t>
      </w:r>
      <w:r w:rsidRPr="009C5E24">
        <w:rPr>
          <w:rFonts w:ascii="Arial" w:hAnsi="Arial" w:cs="Arial"/>
          <w:sz w:val="24"/>
          <w:szCs w:val="24"/>
        </w:rPr>
        <w:t xml:space="preserve"> switching from electric to natural gas for space heating would be nearly 20 years. </w:t>
      </w:r>
      <w:r w:rsidR="00CF7047">
        <w:rPr>
          <w:rFonts w:ascii="Arial" w:hAnsi="Arial" w:cs="Arial"/>
          <w:sz w:val="24"/>
          <w:szCs w:val="24"/>
        </w:rPr>
        <w:t xml:space="preserve"> </w:t>
      </w:r>
      <w:r w:rsidRPr="009C5E24">
        <w:rPr>
          <w:rFonts w:ascii="Arial" w:hAnsi="Arial" w:cs="Arial"/>
          <w:sz w:val="24"/>
          <w:szCs w:val="24"/>
        </w:rPr>
        <w:t xml:space="preserve">This implies that a considerable incentive would be needed to induce households to make the fuel switch for space heating.  Again, obtaining survey information regarding the ability and willingness of customers to switch from electricity to natural gas would be necessary to consider what incentives would be required to support a viable program. </w:t>
      </w:r>
      <w:r w:rsidR="0008295D">
        <w:rPr>
          <w:rFonts w:ascii="Arial" w:hAnsi="Arial" w:cs="Arial"/>
          <w:sz w:val="24"/>
          <w:szCs w:val="24"/>
        </w:rPr>
        <w:t xml:space="preserve"> </w:t>
      </w:r>
      <w:r w:rsidRPr="009C5E24">
        <w:rPr>
          <w:rFonts w:ascii="Arial" w:hAnsi="Arial" w:cs="Arial"/>
          <w:sz w:val="24"/>
          <w:szCs w:val="24"/>
        </w:rPr>
        <w:t>(</w:t>
      </w:r>
      <w:r w:rsidR="00C80862" w:rsidRPr="009C5E24">
        <w:rPr>
          <w:rFonts w:ascii="Arial" w:hAnsi="Arial" w:cs="Arial"/>
          <w:sz w:val="24"/>
          <w:szCs w:val="24"/>
        </w:rPr>
        <w:t xml:space="preserve">FirstEnergy </w:t>
      </w:r>
      <w:r w:rsidR="00974B97" w:rsidRPr="009C5E24">
        <w:rPr>
          <w:rFonts w:ascii="Arial" w:hAnsi="Arial" w:cs="Arial"/>
          <w:sz w:val="24"/>
          <w:szCs w:val="24"/>
        </w:rPr>
        <w:t>Reply Comments</w:t>
      </w:r>
      <w:r w:rsidRPr="009C5E24">
        <w:rPr>
          <w:rFonts w:ascii="Arial" w:hAnsi="Arial" w:cs="Arial"/>
          <w:sz w:val="24"/>
          <w:szCs w:val="24"/>
        </w:rPr>
        <w:t xml:space="preserve"> at 2</w:t>
      </w:r>
      <w:r w:rsidR="0008295D">
        <w:rPr>
          <w:rFonts w:ascii="Arial" w:hAnsi="Arial" w:cs="Arial"/>
          <w:sz w:val="24"/>
          <w:szCs w:val="24"/>
        </w:rPr>
        <w:t>.</w:t>
      </w:r>
      <w:r w:rsidRPr="009C5E24">
        <w:rPr>
          <w:rFonts w:ascii="Arial" w:hAnsi="Arial" w:cs="Arial"/>
          <w:sz w:val="24"/>
          <w:szCs w:val="24"/>
        </w:rPr>
        <w:t>)</w:t>
      </w:r>
    </w:p>
    <w:p w:rsidR="005273C1" w:rsidRDefault="005273C1" w:rsidP="009C5E24">
      <w:pPr>
        <w:pStyle w:val="ListParagraph"/>
        <w:spacing w:after="0" w:line="360" w:lineRule="auto"/>
        <w:ind w:left="0" w:firstLine="720"/>
        <w:rPr>
          <w:rFonts w:ascii="Arial" w:hAnsi="Arial" w:cs="Arial"/>
          <w:sz w:val="24"/>
          <w:szCs w:val="24"/>
        </w:rPr>
      </w:pPr>
    </w:p>
    <w:p w:rsidR="005273C1" w:rsidRDefault="005273C1" w:rsidP="009C5E24">
      <w:pPr>
        <w:pStyle w:val="ListParagraph"/>
        <w:spacing w:after="0" w:line="360" w:lineRule="auto"/>
        <w:ind w:left="0" w:firstLine="720"/>
        <w:rPr>
          <w:rFonts w:ascii="Arial" w:hAnsi="Arial" w:cs="Arial"/>
          <w:sz w:val="24"/>
          <w:szCs w:val="24"/>
        </w:rPr>
      </w:pPr>
      <w:r>
        <w:rPr>
          <w:rFonts w:ascii="Arial" w:hAnsi="Arial" w:cs="Arial"/>
          <w:sz w:val="24"/>
          <w:szCs w:val="24"/>
        </w:rPr>
        <w:t xml:space="preserve">UGI disagreed, however, noting that fuel substitution programs could supplement existing programs, with customers making the ultimate decision as to what best suits their needs in the same manner as customers are permitted to choose between many </w:t>
      </w:r>
      <w:r w:rsidR="00A20356">
        <w:rPr>
          <w:rFonts w:ascii="Arial" w:hAnsi="Arial" w:cs="Arial"/>
          <w:sz w:val="24"/>
          <w:szCs w:val="24"/>
        </w:rPr>
        <w:t>electric EE&amp;C measures.  (UGI Reply Comments at 3.)</w:t>
      </w:r>
    </w:p>
    <w:p w:rsidR="00A20356" w:rsidRPr="009C5E24" w:rsidRDefault="00A20356" w:rsidP="009C5E24">
      <w:pPr>
        <w:pStyle w:val="ListParagraph"/>
        <w:spacing w:after="0" w:line="360" w:lineRule="auto"/>
        <w:ind w:left="0" w:firstLine="720"/>
        <w:rPr>
          <w:rFonts w:ascii="Arial" w:hAnsi="Arial" w:cs="Arial"/>
          <w:sz w:val="24"/>
          <w:szCs w:val="24"/>
        </w:rPr>
      </w:pPr>
    </w:p>
    <w:p w:rsidR="007A22DC" w:rsidRPr="009C5E24" w:rsidRDefault="007A22DC" w:rsidP="009C5E24">
      <w:pPr>
        <w:pStyle w:val="IEctext1014TNR"/>
        <w:spacing w:line="360" w:lineRule="auto"/>
        <w:ind w:firstLine="720"/>
        <w:rPr>
          <w:rFonts w:ascii="Arial" w:hAnsi="Arial" w:cs="Arial"/>
          <w:sz w:val="24"/>
          <w:szCs w:val="24"/>
        </w:rPr>
      </w:pPr>
      <w:r w:rsidRPr="009C5E24">
        <w:rPr>
          <w:rFonts w:ascii="Arial" w:hAnsi="Arial" w:cs="Arial"/>
          <w:sz w:val="24"/>
          <w:szCs w:val="24"/>
        </w:rPr>
        <w:t xml:space="preserve">OSBA states that in the TRC </w:t>
      </w:r>
      <w:r w:rsidR="009A5C33">
        <w:rPr>
          <w:rFonts w:ascii="Arial" w:hAnsi="Arial" w:cs="Arial"/>
          <w:sz w:val="24"/>
          <w:szCs w:val="24"/>
        </w:rPr>
        <w:t>test</w:t>
      </w:r>
      <w:r w:rsidRPr="009C5E24">
        <w:rPr>
          <w:rFonts w:ascii="Arial" w:hAnsi="Arial" w:cs="Arial"/>
          <w:sz w:val="24"/>
          <w:szCs w:val="24"/>
        </w:rPr>
        <w:t>, incentives are irrelevant, and</w:t>
      </w:r>
      <w:r w:rsidR="00E755D8" w:rsidRPr="009C5E24">
        <w:rPr>
          <w:rFonts w:ascii="Arial" w:hAnsi="Arial" w:cs="Arial"/>
          <w:sz w:val="24"/>
          <w:szCs w:val="24"/>
        </w:rPr>
        <w:t xml:space="preserve"> it</w:t>
      </w:r>
      <w:r w:rsidRPr="009C5E24">
        <w:rPr>
          <w:rFonts w:ascii="Arial" w:hAnsi="Arial" w:cs="Arial"/>
          <w:sz w:val="24"/>
          <w:szCs w:val="24"/>
        </w:rPr>
        <w:t xml:space="preserve"> suggest</w:t>
      </w:r>
      <w:r w:rsidR="00E755D8" w:rsidRPr="009C5E24">
        <w:rPr>
          <w:rFonts w:ascii="Arial" w:hAnsi="Arial" w:cs="Arial"/>
          <w:sz w:val="24"/>
          <w:szCs w:val="24"/>
        </w:rPr>
        <w:t>s</w:t>
      </w:r>
      <w:r w:rsidRPr="009C5E24">
        <w:rPr>
          <w:rFonts w:ascii="Arial" w:hAnsi="Arial" w:cs="Arial"/>
          <w:sz w:val="24"/>
          <w:szCs w:val="24"/>
        </w:rPr>
        <w:t xml:space="preserve"> that they be dropped from th</w:t>
      </w:r>
      <w:r w:rsidR="00E755D8" w:rsidRPr="009C5E24">
        <w:rPr>
          <w:rFonts w:ascii="Arial" w:hAnsi="Arial" w:cs="Arial"/>
          <w:sz w:val="24"/>
          <w:szCs w:val="24"/>
        </w:rPr>
        <w:t>e cost-benefit</w:t>
      </w:r>
      <w:r w:rsidRPr="009C5E24">
        <w:rPr>
          <w:rFonts w:ascii="Arial" w:hAnsi="Arial" w:cs="Arial"/>
          <w:sz w:val="24"/>
          <w:szCs w:val="24"/>
        </w:rPr>
        <w:t xml:space="preserve"> analysis.  </w:t>
      </w:r>
      <w:r w:rsidR="00E755D8" w:rsidRPr="009C5E24">
        <w:rPr>
          <w:rFonts w:ascii="Arial" w:hAnsi="Arial" w:cs="Arial"/>
          <w:sz w:val="24"/>
          <w:szCs w:val="24"/>
        </w:rPr>
        <w:t>OSBA submits that</w:t>
      </w:r>
      <w:r w:rsidR="00DC77B5">
        <w:rPr>
          <w:rFonts w:ascii="Arial" w:hAnsi="Arial" w:cs="Arial"/>
          <w:sz w:val="24"/>
          <w:szCs w:val="24"/>
        </w:rPr>
        <w:t>,</w:t>
      </w:r>
      <w:r w:rsidR="00E755D8" w:rsidRPr="009C5E24">
        <w:rPr>
          <w:rFonts w:ascii="Arial" w:hAnsi="Arial" w:cs="Arial"/>
          <w:sz w:val="24"/>
          <w:szCs w:val="24"/>
        </w:rPr>
        <w:t xml:space="preserve"> t</w:t>
      </w:r>
      <w:r w:rsidRPr="009C5E24">
        <w:rPr>
          <w:rFonts w:ascii="Arial" w:hAnsi="Arial" w:cs="Arial"/>
          <w:sz w:val="24"/>
          <w:szCs w:val="24"/>
        </w:rPr>
        <w:t>o the extent that the Commission allows fuel switching programs, incentives should be established in the same way other EE&amp;C program incentives are established.  Preferably, these incentives would be limited to those necessary to get customers to participate.</w:t>
      </w:r>
      <w:r w:rsidR="00465B8A" w:rsidRPr="009C5E24">
        <w:rPr>
          <w:rFonts w:ascii="Arial" w:hAnsi="Arial" w:cs="Arial"/>
          <w:sz w:val="24"/>
          <w:szCs w:val="24"/>
        </w:rPr>
        <w:t xml:space="preserve"> </w:t>
      </w:r>
      <w:r w:rsidR="000B574D">
        <w:rPr>
          <w:rFonts w:ascii="Arial" w:hAnsi="Arial" w:cs="Arial"/>
          <w:sz w:val="24"/>
          <w:szCs w:val="24"/>
        </w:rPr>
        <w:t xml:space="preserve"> </w:t>
      </w:r>
      <w:r w:rsidR="00465B8A" w:rsidRPr="009C5E24">
        <w:rPr>
          <w:rFonts w:ascii="Arial" w:hAnsi="Arial" w:cs="Arial"/>
          <w:sz w:val="24"/>
          <w:szCs w:val="24"/>
        </w:rPr>
        <w:t xml:space="preserve">(OSBA Reply Comments at </w:t>
      </w:r>
      <w:r w:rsidR="002C0435" w:rsidRPr="009C5E24">
        <w:rPr>
          <w:rFonts w:ascii="Arial" w:hAnsi="Arial" w:cs="Arial"/>
          <w:sz w:val="24"/>
          <w:szCs w:val="24"/>
        </w:rPr>
        <w:t>6</w:t>
      </w:r>
      <w:r w:rsidR="000B574D">
        <w:rPr>
          <w:rFonts w:ascii="Arial" w:hAnsi="Arial" w:cs="Arial"/>
          <w:sz w:val="24"/>
          <w:szCs w:val="24"/>
        </w:rPr>
        <w:t>.</w:t>
      </w:r>
      <w:r w:rsidR="00465B8A" w:rsidRPr="009C5E24">
        <w:rPr>
          <w:rFonts w:ascii="Arial" w:hAnsi="Arial" w:cs="Arial"/>
          <w:sz w:val="24"/>
          <w:szCs w:val="24"/>
        </w:rPr>
        <w:t>)</w:t>
      </w:r>
    </w:p>
    <w:p w:rsidR="00465B8A" w:rsidRPr="009C5E24" w:rsidRDefault="00465B8A" w:rsidP="009C5E24">
      <w:pPr>
        <w:pStyle w:val="Default"/>
        <w:spacing w:line="360" w:lineRule="auto"/>
        <w:rPr>
          <w:rFonts w:ascii="Arial" w:hAnsi="Arial" w:cs="Arial"/>
        </w:rPr>
      </w:pPr>
    </w:p>
    <w:p w:rsidR="00ED0D27" w:rsidRPr="009C5E24" w:rsidRDefault="00ED0D27" w:rsidP="00023BB3">
      <w:pPr>
        <w:pStyle w:val="Default"/>
        <w:spacing w:line="360" w:lineRule="auto"/>
        <w:ind w:firstLine="720"/>
        <w:rPr>
          <w:rFonts w:ascii="Arial" w:hAnsi="Arial" w:cs="Arial"/>
        </w:rPr>
      </w:pPr>
      <w:r w:rsidRPr="009C5E24">
        <w:rPr>
          <w:rFonts w:ascii="Arial" w:hAnsi="Arial" w:cs="Arial"/>
        </w:rPr>
        <w:t xml:space="preserve">SEF </w:t>
      </w:r>
      <w:r w:rsidR="00794800" w:rsidRPr="009C5E24">
        <w:rPr>
          <w:rFonts w:ascii="Arial" w:hAnsi="Arial" w:cs="Arial"/>
        </w:rPr>
        <w:t>submits that</w:t>
      </w:r>
      <w:r w:rsidR="00DC77B5">
        <w:rPr>
          <w:rFonts w:ascii="Arial" w:hAnsi="Arial" w:cs="Arial"/>
        </w:rPr>
        <w:t>,</w:t>
      </w:r>
      <w:r w:rsidR="00794800" w:rsidRPr="009C5E24">
        <w:rPr>
          <w:rFonts w:ascii="Arial" w:hAnsi="Arial" w:cs="Arial"/>
        </w:rPr>
        <w:t xml:space="preserve"> </w:t>
      </w:r>
      <w:r w:rsidR="000B574D">
        <w:rPr>
          <w:rFonts w:ascii="Arial" w:hAnsi="Arial" w:cs="Arial"/>
        </w:rPr>
        <w:t xml:space="preserve">on </w:t>
      </w:r>
      <w:r w:rsidR="000C32F0">
        <w:rPr>
          <w:rFonts w:ascii="Arial" w:hAnsi="Arial" w:cs="Arial"/>
        </w:rPr>
        <w:t xml:space="preserve">page 21 of </w:t>
      </w:r>
      <w:r w:rsidR="00794800" w:rsidRPr="009C5E24">
        <w:rPr>
          <w:rFonts w:ascii="Arial" w:hAnsi="Arial" w:cs="Arial"/>
        </w:rPr>
        <w:t>t</w:t>
      </w:r>
      <w:r w:rsidRPr="009C5E24">
        <w:rPr>
          <w:rFonts w:ascii="Arial" w:hAnsi="Arial" w:cs="Arial"/>
        </w:rPr>
        <w:t xml:space="preserve">he </w:t>
      </w:r>
      <w:r w:rsidR="000B574D">
        <w:rPr>
          <w:rFonts w:ascii="Arial" w:hAnsi="Arial" w:cs="Arial"/>
        </w:rPr>
        <w:t xml:space="preserve">Commission’s </w:t>
      </w:r>
      <w:r w:rsidR="000B574D" w:rsidRPr="000B574D">
        <w:rPr>
          <w:rFonts w:ascii="Arial" w:hAnsi="Arial" w:cs="Arial"/>
          <w:i/>
        </w:rPr>
        <w:t>Implementation of Act 129 of 2008 – Total Resource Cost (TRC) Test Order</w:t>
      </w:r>
      <w:r w:rsidR="000B574D">
        <w:rPr>
          <w:rFonts w:ascii="Arial" w:hAnsi="Arial" w:cs="Arial"/>
        </w:rPr>
        <w:t>, entered June 23, 2009</w:t>
      </w:r>
      <w:r w:rsidRPr="009C5E24">
        <w:rPr>
          <w:rFonts w:ascii="Arial" w:hAnsi="Arial" w:cs="Arial"/>
        </w:rPr>
        <w:t xml:space="preserve"> at M</w:t>
      </w:r>
      <w:r w:rsidR="000C32F0">
        <w:rPr>
          <w:rFonts w:ascii="Arial" w:hAnsi="Arial" w:cs="Arial"/>
        </w:rPr>
        <w:noBreakHyphen/>
      </w:r>
      <w:r w:rsidRPr="009C5E24">
        <w:rPr>
          <w:rFonts w:ascii="Arial" w:hAnsi="Arial" w:cs="Arial"/>
        </w:rPr>
        <w:t>2009</w:t>
      </w:r>
      <w:r w:rsidR="000C32F0">
        <w:rPr>
          <w:rFonts w:ascii="Arial" w:hAnsi="Arial" w:cs="Arial"/>
        </w:rPr>
        <w:noBreakHyphen/>
      </w:r>
      <w:r w:rsidRPr="009C5E24">
        <w:rPr>
          <w:rFonts w:ascii="Arial" w:hAnsi="Arial" w:cs="Arial"/>
        </w:rPr>
        <w:t xml:space="preserve">2108601 </w:t>
      </w:r>
      <w:r w:rsidR="000B574D">
        <w:rPr>
          <w:rFonts w:ascii="Arial" w:hAnsi="Arial" w:cs="Arial"/>
        </w:rPr>
        <w:t>(</w:t>
      </w:r>
      <w:r w:rsidR="000B574D" w:rsidRPr="000C32F0">
        <w:rPr>
          <w:rFonts w:ascii="Arial" w:hAnsi="Arial" w:cs="Arial"/>
          <w:i/>
        </w:rPr>
        <w:t>TRC Test Order</w:t>
      </w:r>
      <w:r w:rsidR="000B574D">
        <w:rPr>
          <w:rFonts w:ascii="Arial" w:hAnsi="Arial" w:cs="Arial"/>
        </w:rPr>
        <w:t>)</w:t>
      </w:r>
      <w:r w:rsidR="00DC77B5">
        <w:rPr>
          <w:rFonts w:ascii="Arial" w:hAnsi="Arial" w:cs="Arial"/>
        </w:rPr>
        <w:t>,</w:t>
      </w:r>
      <w:r w:rsidR="000B574D">
        <w:rPr>
          <w:rFonts w:ascii="Arial" w:hAnsi="Arial" w:cs="Arial"/>
        </w:rPr>
        <w:t xml:space="preserve"> </w:t>
      </w:r>
      <w:r w:rsidR="000C32F0">
        <w:rPr>
          <w:rFonts w:ascii="Arial" w:hAnsi="Arial" w:cs="Arial"/>
        </w:rPr>
        <w:t xml:space="preserve">the Commission </w:t>
      </w:r>
      <w:r w:rsidRPr="009C5E24">
        <w:rPr>
          <w:rFonts w:ascii="Arial" w:hAnsi="Arial" w:cs="Arial"/>
        </w:rPr>
        <w:t>clearly states in section (d) that “</w:t>
      </w:r>
      <w:r w:rsidR="000C32F0">
        <w:rPr>
          <w:rFonts w:ascii="Arial" w:hAnsi="Arial" w:cs="Arial"/>
        </w:rPr>
        <w:t>[i]</w:t>
      </w:r>
      <w:r w:rsidRPr="009C5E24">
        <w:rPr>
          <w:rFonts w:ascii="Arial" w:hAnsi="Arial" w:cs="Arial"/>
        </w:rPr>
        <w:t xml:space="preserve">ncentive payments from an EDC to a customer would not be included in the TRC test because such costs would be a cost to the EDC and a benefit to the customer that would cancel each other out.” </w:t>
      </w:r>
      <w:r w:rsidR="00023BB3">
        <w:rPr>
          <w:rFonts w:ascii="Arial" w:hAnsi="Arial" w:cs="Arial"/>
        </w:rPr>
        <w:t xml:space="preserve"> </w:t>
      </w:r>
      <w:r w:rsidR="00DC77B5">
        <w:rPr>
          <w:rFonts w:ascii="Arial" w:hAnsi="Arial" w:cs="Arial"/>
        </w:rPr>
        <w:t>SEF maintains that, a</w:t>
      </w:r>
      <w:r w:rsidRPr="009C5E24">
        <w:rPr>
          <w:rFonts w:ascii="Arial" w:hAnsi="Arial" w:cs="Arial"/>
        </w:rPr>
        <w:t xml:space="preserve">lthough rebate amounts are relevant in the context of each EDC’s EE&amp;C </w:t>
      </w:r>
      <w:r w:rsidR="00286093">
        <w:rPr>
          <w:rFonts w:ascii="Arial" w:hAnsi="Arial" w:cs="Arial"/>
        </w:rPr>
        <w:t>p</w:t>
      </w:r>
      <w:r w:rsidRPr="009C5E24">
        <w:rPr>
          <w:rFonts w:ascii="Arial" w:hAnsi="Arial" w:cs="Arial"/>
        </w:rPr>
        <w:t>lan</w:t>
      </w:r>
      <w:r w:rsidR="000C32F0">
        <w:rPr>
          <w:rFonts w:ascii="Arial" w:hAnsi="Arial" w:cs="Arial"/>
        </w:rPr>
        <w:t>,</w:t>
      </w:r>
      <w:r w:rsidRPr="009C5E24">
        <w:rPr>
          <w:rFonts w:ascii="Arial" w:hAnsi="Arial" w:cs="Arial"/>
        </w:rPr>
        <w:t xml:space="preserve"> the amounts are irrelevant to this </w:t>
      </w:r>
      <w:r w:rsidR="000C32F0">
        <w:rPr>
          <w:rFonts w:ascii="Arial" w:hAnsi="Arial" w:cs="Arial"/>
        </w:rPr>
        <w:t>W</w:t>
      </w:r>
      <w:r w:rsidRPr="009C5E24">
        <w:rPr>
          <w:rFonts w:ascii="Arial" w:hAnsi="Arial" w:cs="Arial"/>
        </w:rPr>
        <w:t xml:space="preserve">orking </w:t>
      </w:r>
      <w:r w:rsidR="000C32F0">
        <w:rPr>
          <w:rFonts w:ascii="Arial" w:hAnsi="Arial" w:cs="Arial"/>
        </w:rPr>
        <w:t>G</w:t>
      </w:r>
      <w:r w:rsidRPr="009C5E24">
        <w:rPr>
          <w:rFonts w:ascii="Arial" w:hAnsi="Arial" w:cs="Arial"/>
        </w:rPr>
        <w:t xml:space="preserve">roup in determining the cost-effectiveness of fuel switching measures. </w:t>
      </w:r>
      <w:r w:rsidR="000C32F0">
        <w:rPr>
          <w:rFonts w:ascii="Arial" w:hAnsi="Arial" w:cs="Arial"/>
        </w:rPr>
        <w:t xml:space="preserve"> </w:t>
      </w:r>
      <w:r w:rsidRPr="009C5E24">
        <w:rPr>
          <w:rFonts w:ascii="Arial" w:hAnsi="Arial" w:cs="Arial"/>
        </w:rPr>
        <w:t>(</w:t>
      </w:r>
      <w:r w:rsidR="00465B8A" w:rsidRPr="009C5E24">
        <w:rPr>
          <w:rFonts w:ascii="Arial" w:hAnsi="Arial" w:cs="Arial"/>
        </w:rPr>
        <w:t xml:space="preserve">SEF </w:t>
      </w:r>
      <w:r w:rsidR="00974B97" w:rsidRPr="009C5E24">
        <w:rPr>
          <w:rFonts w:ascii="Arial" w:hAnsi="Arial" w:cs="Arial"/>
        </w:rPr>
        <w:t>Reply Comments</w:t>
      </w:r>
      <w:r w:rsidRPr="009C5E24">
        <w:rPr>
          <w:rFonts w:ascii="Arial" w:hAnsi="Arial" w:cs="Arial"/>
        </w:rPr>
        <w:t xml:space="preserve"> at 3</w:t>
      </w:r>
      <w:r w:rsidR="000C32F0">
        <w:rPr>
          <w:rFonts w:ascii="Arial" w:hAnsi="Arial" w:cs="Arial"/>
        </w:rPr>
        <w:t>.</w:t>
      </w:r>
      <w:r w:rsidRPr="009C5E24">
        <w:rPr>
          <w:rFonts w:ascii="Arial" w:hAnsi="Arial" w:cs="Arial"/>
        </w:rPr>
        <w:t>)</w:t>
      </w:r>
    </w:p>
    <w:p w:rsidR="00A051DB" w:rsidRPr="009C5E24" w:rsidRDefault="00A051DB" w:rsidP="009C5E24">
      <w:pPr>
        <w:pStyle w:val="IEctext1014TNR"/>
        <w:spacing w:line="360" w:lineRule="auto"/>
        <w:rPr>
          <w:rFonts w:ascii="Arial" w:hAnsi="Arial" w:cs="Arial"/>
          <w:sz w:val="24"/>
          <w:szCs w:val="24"/>
        </w:rPr>
      </w:pPr>
    </w:p>
    <w:p w:rsidR="00836B82" w:rsidRDefault="00836B82">
      <w:pPr>
        <w:spacing w:after="0" w:line="240" w:lineRule="auto"/>
        <w:rPr>
          <w:rFonts w:ascii="Arial" w:hAnsi="Arial" w:cs="Arial"/>
          <w:sz w:val="24"/>
          <w:szCs w:val="24"/>
        </w:rPr>
      </w:pPr>
      <w:r>
        <w:rPr>
          <w:rFonts w:ascii="Arial" w:hAnsi="Arial" w:cs="Arial"/>
          <w:sz w:val="24"/>
          <w:szCs w:val="24"/>
        </w:rPr>
        <w:br w:type="page"/>
      </w:r>
    </w:p>
    <w:p w:rsidR="00A051DB" w:rsidRDefault="00A051DB" w:rsidP="00F032CD">
      <w:pPr>
        <w:autoSpaceDE w:val="0"/>
        <w:autoSpaceDN w:val="0"/>
        <w:adjustRightInd w:val="0"/>
        <w:spacing w:after="0" w:line="360" w:lineRule="auto"/>
        <w:ind w:firstLine="720"/>
        <w:rPr>
          <w:rFonts w:ascii="Arial" w:hAnsi="Arial" w:cs="Arial"/>
          <w:sz w:val="24"/>
          <w:szCs w:val="24"/>
        </w:rPr>
      </w:pPr>
      <w:r w:rsidRPr="009C5E24">
        <w:rPr>
          <w:rFonts w:ascii="Arial" w:hAnsi="Arial" w:cs="Arial"/>
          <w:sz w:val="24"/>
          <w:szCs w:val="24"/>
        </w:rPr>
        <w:lastRenderedPageBreak/>
        <w:t xml:space="preserve">Allegheny submits that the incentive levels included in the fuel switching proposals are substantial and would have significant impact on EDC EE&amp;C </w:t>
      </w:r>
      <w:r w:rsidR="00DC77B5">
        <w:rPr>
          <w:rFonts w:ascii="Arial" w:hAnsi="Arial" w:cs="Arial"/>
          <w:sz w:val="24"/>
          <w:szCs w:val="24"/>
        </w:rPr>
        <w:t>p</w:t>
      </w:r>
      <w:r w:rsidRPr="009C5E24">
        <w:rPr>
          <w:rFonts w:ascii="Arial" w:hAnsi="Arial" w:cs="Arial"/>
          <w:sz w:val="24"/>
          <w:szCs w:val="24"/>
        </w:rPr>
        <w:t>lan budgets unless the programs are limited in some fashion or restricted to specific</w:t>
      </w:r>
      <w:r w:rsidR="00F032CD">
        <w:rPr>
          <w:rFonts w:ascii="Arial" w:hAnsi="Arial" w:cs="Arial"/>
          <w:sz w:val="24"/>
          <w:szCs w:val="24"/>
        </w:rPr>
        <w:t xml:space="preserve"> </w:t>
      </w:r>
      <w:r w:rsidRPr="009C5E24">
        <w:rPr>
          <w:rFonts w:ascii="Arial" w:hAnsi="Arial" w:cs="Arial"/>
          <w:sz w:val="24"/>
          <w:szCs w:val="24"/>
        </w:rPr>
        <w:t xml:space="preserve">applications. </w:t>
      </w:r>
      <w:r w:rsidR="00A32CA9" w:rsidRPr="009C5E24">
        <w:rPr>
          <w:rFonts w:ascii="Arial" w:hAnsi="Arial" w:cs="Arial"/>
          <w:sz w:val="24"/>
          <w:szCs w:val="24"/>
        </w:rPr>
        <w:t xml:space="preserve"> </w:t>
      </w:r>
      <w:r w:rsidRPr="009C5E24">
        <w:rPr>
          <w:rFonts w:ascii="Arial" w:hAnsi="Arial" w:cs="Arial"/>
          <w:sz w:val="24"/>
          <w:szCs w:val="24"/>
        </w:rPr>
        <w:t>In addition, based on the potential budget impact, the inclusion of fuel</w:t>
      </w:r>
      <w:r w:rsidR="00F032CD">
        <w:rPr>
          <w:rFonts w:ascii="Arial" w:hAnsi="Arial" w:cs="Arial"/>
          <w:sz w:val="24"/>
          <w:szCs w:val="24"/>
        </w:rPr>
        <w:t xml:space="preserve"> </w:t>
      </w:r>
      <w:r w:rsidRPr="009C5E24">
        <w:rPr>
          <w:rFonts w:ascii="Arial" w:hAnsi="Arial" w:cs="Arial"/>
          <w:sz w:val="24"/>
          <w:szCs w:val="24"/>
        </w:rPr>
        <w:t xml:space="preserve">switching programs may impact the ability of an EE&amp;C </w:t>
      </w:r>
      <w:r w:rsidR="00286093">
        <w:rPr>
          <w:rFonts w:ascii="Arial" w:hAnsi="Arial" w:cs="Arial"/>
          <w:sz w:val="24"/>
          <w:szCs w:val="24"/>
        </w:rPr>
        <w:t>p</w:t>
      </w:r>
      <w:r w:rsidRPr="009C5E24">
        <w:rPr>
          <w:rFonts w:ascii="Arial" w:hAnsi="Arial" w:cs="Arial"/>
          <w:sz w:val="24"/>
          <w:szCs w:val="24"/>
        </w:rPr>
        <w:t>lan to provide a diversified</w:t>
      </w:r>
      <w:r w:rsidR="00F032CD">
        <w:rPr>
          <w:rFonts w:ascii="Arial" w:hAnsi="Arial" w:cs="Arial"/>
          <w:sz w:val="24"/>
          <w:szCs w:val="24"/>
        </w:rPr>
        <w:t xml:space="preserve"> </w:t>
      </w:r>
      <w:r w:rsidRPr="009C5E24">
        <w:rPr>
          <w:rFonts w:ascii="Arial" w:hAnsi="Arial" w:cs="Arial"/>
          <w:sz w:val="24"/>
          <w:szCs w:val="24"/>
        </w:rPr>
        <w:t xml:space="preserve">portfolio that </w:t>
      </w:r>
      <w:r w:rsidR="00F74DFF">
        <w:rPr>
          <w:rFonts w:ascii="Arial" w:hAnsi="Arial" w:cs="Arial"/>
          <w:sz w:val="24"/>
          <w:szCs w:val="24"/>
        </w:rPr>
        <w:t>provides</w:t>
      </w:r>
      <w:r w:rsidRPr="009C5E24">
        <w:rPr>
          <w:rFonts w:ascii="Arial" w:hAnsi="Arial" w:cs="Arial"/>
          <w:sz w:val="24"/>
          <w:szCs w:val="24"/>
        </w:rPr>
        <w:t xml:space="preserve"> customers the opportunity to participate in and benefit from a</w:t>
      </w:r>
      <w:r w:rsidR="00F032CD">
        <w:rPr>
          <w:rFonts w:ascii="Arial" w:hAnsi="Arial" w:cs="Arial"/>
          <w:sz w:val="24"/>
          <w:szCs w:val="24"/>
        </w:rPr>
        <w:t xml:space="preserve"> </w:t>
      </w:r>
      <w:r w:rsidRPr="009C5E24">
        <w:rPr>
          <w:rFonts w:ascii="Arial" w:hAnsi="Arial" w:cs="Arial"/>
          <w:sz w:val="24"/>
          <w:szCs w:val="24"/>
        </w:rPr>
        <w:t>program.</w:t>
      </w:r>
      <w:r w:rsidR="00A32CA9" w:rsidRPr="009C5E24">
        <w:rPr>
          <w:rFonts w:ascii="Arial" w:hAnsi="Arial" w:cs="Arial"/>
          <w:sz w:val="24"/>
          <w:szCs w:val="24"/>
        </w:rPr>
        <w:t xml:space="preserve"> </w:t>
      </w:r>
      <w:r w:rsidR="003319CF">
        <w:rPr>
          <w:rFonts w:ascii="Arial" w:hAnsi="Arial" w:cs="Arial"/>
          <w:sz w:val="24"/>
          <w:szCs w:val="24"/>
        </w:rPr>
        <w:t xml:space="preserve"> </w:t>
      </w:r>
      <w:r w:rsidR="00A32CA9" w:rsidRPr="009C5E24">
        <w:rPr>
          <w:rFonts w:ascii="Arial" w:hAnsi="Arial" w:cs="Arial"/>
          <w:sz w:val="24"/>
          <w:szCs w:val="24"/>
        </w:rPr>
        <w:t>(Allegheny Reply Comments at 2</w:t>
      </w:r>
      <w:r w:rsidR="003319CF">
        <w:rPr>
          <w:rFonts w:ascii="Arial" w:hAnsi="Arial" w:cs="Arial"/>
          <w:sz w:val="24"/>
          <w:szCs w:val="24"/>
        </w:rPr>
        <w:t>.</w:t>
      </w:r>
      <w:r w:rsidR="00A32CA9" w:rsidRPr="009C5E24">
        <w:rPr>
          <w:rFonts w:ascii="Arial" w:hAnsi="Arial" w:cs="Arial"/>
          <w:sz w:val="24"/>
          <w:szCs w:val="24"/>
        </w:rPr>
        <w:t>)</w:t>
      </w:r>
    </w:p>
    <w:p w:rsidR="00A20356" w:rsidRDefault="00A20356" w:rsidP="00F032CD">
      <w:pPr>
        <w:autoSpaceDE w:val="0"/>
        <w:autoSpaceDN w:val="0"/>
        <w:adjustRightInd w:val="0"/>
        <w:spacing w:after="0" w:line="360" w:lineRule="auto"/>
        <w:ind w:firstLine="720"/>
        <w:rPr>
          <w:rFonts w:ascii="Arial" w:hAnsi="Arial" w:cs="Arial"/>
          <w:sz w:val="24"/>
          <w:szCs w:val="24"/>
        </w:rPr>
      </w:pPr>
    </w:p>
    <w:p w:rsidR="00A20356" w:rsidRPr="009C5E24" w:rsidRDefault="00A20356" w:rsidP="00F032C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UGI submits that it stated during the working group process that the Commission could easily limit the size of fuel substitution programs to ensure that they do not crowd out other energy efficiency programs.  Specifically, UGI noted that it understands that fuel substitution measures would not be the only Act 129 EE&amp;C plan program offerings, just as the programs proposed by Allegheny to subsidize high efficiency electric appliances are not the only programs offered by Allegheny.  UGI believes that fuel substitution measures should supplement or replace similar electric EE&amp;C measures that are not as cost</w:t>
      </w:r>
      <w:r>
        <w:rPr>
          <w:rFonts w:ascii="Arial" w:hAnsi="Arial" w:cs="Arial"/>
          <w:sz w:val="24"/>
          <w:szCs w:val="24"/>
        </w:rPr>
        <w:noBreakHyphen/>
        <w:t>effective, and that customer demand should determine the mix of measures ultimately installed or implemented up to program budget limits in the same manner as existing Allegheny Act 129 program measures are similarly budget</w:t>
      </w:r>
      <w:r>
        <w:rPr>
          <w:rFonts w:ascii="Arial" w:hAnsi="Arial" w:cs="Arial"/>
          <w:sz w:val="24"/>
          <w:szCs w:val="24"/>
        </w:rPr>
        <w:noBreakHyphen/>
        <w:t xml:space="preserve">limited.  </w:t>
      </w:r>
      <w:r w:rsidR="00BA64A4">
        <w:rPr>
          <w:rFonts w:ascii="Arial" w:hAnsi="Arial" w:cs="Arial"/>
          <w:sz w:val="24"/>
          <w:szCs w:val="24"/>
        </w:rPr>
        <w:t>(UGI Reply Comments at 10.)</w:t>
      </w:r>
    </w:p>
    <w:p w:rsidR="001A04DD" w:rsidRPr="009C5E24" w:rsidRDefault="001A04DD" w:rsidP="009C5E24">
      <w:pPr>
        <w:spacing w:after="0" w:line="360" w:lineRule="auto"/>
        <w:ind w:left="20" w:firstLine="288"/>
        <w:rPr>
          <w:rFonts w:ascii="Arial" w:hAnsi="Arial" w:cs="Arial"/>
          <w:sz w:val="24"/>
          <w:szCs w:val="24"/>
          <w:u w:val="single"/>
        </w:rPr>
      </w:pPr>
    </w:p>
    <w:p w:rsidR="001A04DD" w:rsidRPr="009C5E24" w:rsidRDefault="001A04DD" w:rsidP="009C5E24">
      <w:pPr>
        <w:spacing w:after="0" w:line="360" w:lineRule="auto"/>
        <w:ind w:left="20" w:firstLine="288"/>
        <w:rPr>
          <w:rFonts w:ascii="Arial" w:hAnsi="Arial" w:cs="Arial"/>
          <w:sz w:val="24"/>
          <w:szCs w:val="24"/>
          <w:u w:val="single"/>
        </w:rPr>
      </w:pPr>
      <w:r w:rsidRPr="009C5E24">
        <w:rPr>
          <w:rFonts w:ascii="Arial" w:hAnsi="Arial" w:cs="Arial"/>
          <w:sz w:val="24"/>
          <w:szCs w:val="24"/>
          <w:u w:val="single"/>
        </w:rPr>
        <w:t>Staff Recommendation</w:t>
      </w:r>
    </w:p>
    <w:p w:rsidR="003D4820" w:rsidRPr="009C5E24" w:rsidRDefault="003D4820" w:rsidP="009C5E24">
      <w:pPr>
        <w:pStyle w:val="ListParagraph"/>
        <w:spacing w:after="0" w:line="360" w:lineRule="auto"/>
        <w:ind w:left="0"/>
        <w:rPr>
          <w:rFonts w:ascii="Arial" w:hAnsi="Arial" w:cs="Arial"/>
          <w:sz w:val="24"/>
          <w:szCs w:val="24"/>
        </w:rPr>
      </w:pPr>
    </w:p>
    <w:p w:rsidR="00794800" w:rsidRPr="00C21904" w:rsidRDefault="00235C76" w:rsidP="009C5E24">
      <w:pPr>
        <w:pStyle w:val="ListParagraph"/>
        <w:spacing w:after="0" w:line="360" w:lineRule="auto"/>
        <w:ind w:left="0"/>
        <w:rPr>
          <w:rFonts w:ascii="Arial" w:hAnsi="Arial" w:cs="Arial"/>
          <w:sz w:val="24"/>
          <w:szCs w:val="24"/>
        </w:rPr>
      </w:pPr>
      <w:r w:rsidRPr="009C5E24">
        <w:rPr>
          <w:rFonts w:ascii="Arial" w:hAnsi="Arial" w:cs="Arial"/>
          <w:color w:val="C00000"/>
          <w:sz w:val="24"/>
          <w:szCs w:val="24"/>
        </w:rPr>
        <w:tab/>
      </w:r>
      <w:r w:rsidRPr="00C21904">
        <w:rPr>
          <w:rFonts w:ascii="Arial" w:hAnsi="Arial" w:cs="Arial"/>
          <w:sz w:val="24"/>
          <w:szCs w:val="24"/>
        </w:rPr>
        <w:t>Staff agrees with the positions of SEF and OSBA that</w:t>
      </w:r>
      <w:r w:rsidR="00E04BC6" w:rsidRPr="00C21904">
        <w:rPr>
          <w:rFonts w:ascii="Arial" w:hAnsi="Arial" w:cs="Arial"/>
          <w:sz w:val="24"/>
          <w:szCs w:val="24"/>
        </w:rPr>
        <w:t>,</w:t>
      </w:r>
      <w:r w:rsidRPr="00C21904">
        <w:rPr>
          <w:rFonts w:ascii="Arial" w:hAnsi="Arial" w:cs="Arial"/>
          <w:sz w:val="24"/>
          <w:szCs w:val="24"/>
        </w:rPr>
        <w:t xml:space="preserve"> for the purposes of the TRC </w:t>
      </w:r>
      <w:r w:rsidR="009A5C33" w:rsidRPr="00C21904">
        <w:rPr>
          <w:rFonts w:ascii="Arial" w:hAnsi="Arial" w:cs="Arial"/>
          <w:sz w:val="24"/>
          <w:szCs w:val="24"/>
        </w:rPr>
        <w:t>test</w:t>
      </w:r>
      <w:r w:rsidRPr="00C21904">
        <w:rPr>
          <w:rFonts w:ascii="Arial" w:hAnsi="Arial" w:cs="Arial"/>
          <w:sz w:val="24"/>
          <w:szCs w:val="24"/>
        </w:rPr>
        <w:t xml:space="preserve">, </w:t>
      </w:r>
      <w:r w:rsidR="00BF3E91">
        <w:rPr>
          <w:rFonts w:ascii="Arial" w:hAnsi="Arial" w:cs="Arial"/>
          <w:sz w:val="24"/>
          <w:szCs w:val="24"/>
        </w:rPr>
        <w:t xml:space="preserve">EE&amp;C plan </w:t>
      </w:r>
      <w:r w:rsidRPr="00C21904">
        <w:rPr>
          <w:rFonts w:ascii="Arial" w:hAnsi="Arial" w:cs="Arial"/>
          <w:sz w:val="24"/>
          <w:szCs w:val="24"/>
        </w:rPr>
        <w:t xml:space="preserve">incentive payments are irrelevant.  As such, staff finds that a strict cap on such payments may not be necessary.  However, staff finds that </w:t>
      </w:r>
      <w:r w:rsidR="00BF3E91">
        <w:rPr>
          <w:rFonts w:ascii="Arial" w:hAnsi="Arial" w:cs="Arial"/>
          <w:sz w:val="24"/>
          <w:szCs w:val="24"/>
        </w:rPr>
        <w:t xml:space="preserve">EE&amp;C  plan </w:t>
      </w:r>
      <w:r w:rsidRPr="00C21904">
        <w:rPr>
          <w:rFonts w:ascii="Arial" w:hAnsi="Arial" w:cs="Arial"/>
          <w:sz w:val="24"/>
          <w:szCs w:val="24"/>
        </w:rPr>
        <w:t>incentive payments should be limited to the extent that excessively high incentive payments for any fuel switching program detract from the ability of an EDC to fund other programs and maintain a diversified portfolio of EE&amp;C programs.</w:t>
      </w:r>
      <w:r w:rsidR="003319CF" w:rsidRPr="00C21904">
        <w:rPr>
          <w:rFonts w:ascii="Arial" w:hAnsi="Arial" w:cs="Arial"/>
          <w:sz w:val="24"/>
          <w:szCs w:val="24"/>
        </w:rPr>
        <w:t xml:space="preserve">  Again, the amount of incentives to be offered in any proposed fuel switching measure should be developed through the EDC’s EE&amp;C </w:t>
      </w:r>
      <w:r w:rsidR="00E04BC6" w:rsidRPr="00C21904">
        <w:rPr>
          <w:rFonts w:ascii="Arial" w:hAnsi="Arial" w:cs="Arial"/>
          <w:sz w:val="24"/>
          <w:szCs w:val="24"/>
        </w:rPr>
        <w:t>p</w:t>
      </w:r>
      <w:r w:rsidR="003319CF" w:rsidRPr="00C21904">
        <w:rPr>
          <w:rFonts w:ascii="Arial" w:hAnsi="Arial" w:cs="Arial"/>
          <w:sz w:val="24"/>
          <w:szCs w:val="24"/>
        </w:rPr>
        <w:t xml:space="preserve">lan stakeholder process and presented for Commission approval through the processes set forth in the </w:t>
      </w:r>
      <w:r w:rsidR="003319CF" w:rsidRPr="00C21904">
        <w:rPr>
          <w:rFonts w:ascii="Arial" w:hAnsi="Arial" w:cs="Arial"/>
          <w:i/>
          <w:sz w:val="24"/>
          <w:szCs w:val="24"/>
        </w:rPr>
        <w:t>Implementation Order</w:t>
      </w:r>
      <w:r w:rsidR="003319CF" w:rsidRPr="00C21904">
        <w:rPr>
          <w:rFonts w:ascii="Arial" w:hAnsi="Arial" w:cs="Arial"/>
          <w:sz w:val="24"/>
          <w:szCs w:val="24"/>
        </w:rPr>
        <w:t>.</w:t>
      </w:r>
    </w:p>
    <w:p w:rsidR="000B6997" w:rsidRPr="009C5E24" w:rsidRDefault="000B6997" w:rsidP="00B40C24">
      <w:pPr>
        <w:pStyle w:val="ListParagraph"/>
        <w:numPr>
          <w:ilvl w:val="0"/>
          <w:numId w:val="6"/>
        </w:numPr>
        <w:spacing w:after="0" w:line="360" w:lineRule="auto"/>
        <w:outlineLvl w:val="1"/>
        <w:rPr>
          <w:rFonts w:ascii="Arial" w:hAnsi="Arial" w:cs="Arial"/>
          <w:sz w:val="24"/>
          <w:szCs w:val="24"/>
          <w:u w:val="single"/>
        </w:rPr>
      </w:pPr>
      <w:bookmarkStart w:id="11" w:name="_Toc260316374"/>
      <w:r w:rsidRPr="009C5E24">
        <w:rPr>
          <w:rFonts w:ascii="Arial" w:hAnsi="Arial" w:cs="Arial"/>
          <w:sz w:val="24"/>
          <w:szCs w:val="24"/>
          <w:u w:val="single"/>
        </w:rPr>
        <w:lastRenderedPageBreak/>
        <w:t>If permitted, should there be a minimum efficiency rating for the new equipment</w:t>
      </w:r>
      <w:r w:rsidR="00E04BC6">
        <w:rPr>
          <w:rFonts w:ascii="Arial" w:hAnsi="Arial" w:cs="Arial"/>
          <w:sz w:val="24"/>
          <w:szCs w:val="24"/>
          <w:u w:val="single"/>
        </w:rPr>
        <w:t>;</w:t>
      </w:r>
      <w:r w:rsidRPr="009C5E24">
        <w:rPr>
          <w:rFonts w:ascii="Arial" w:hAnsi="Arial" w:cs="Arial"/>
          <w:sz w:val="24"/>
          <w:szCs w:val="24"/>
          <w:u w:val="single"/>
        </w:rPr>
        <w:t xml:space="preserve"> if so what should the minimum efficiency rating be?</w:t>
      </w:r>
      <w:bookmarkEnd w:id="11"/>
    </w:p>
    <w:p w:rsidR="00D22297" w:rsidRPr="009C5E24" w:rsidRDefault="00D22297" w:rsidP="009C5E24">
      <w:pPr>
        <w:pStyle w:val="ListParagraph"/>
        <w:spacing w:after="0" w:line="360" w:lineRule="auto"/>
        <w:ind w:left="0"/>
        <w:rPr>
          <w:rFonts w:ascii="Arial" w:hAnsi="Arial" w:cs="Arial"/>
          <w:sz w:val="24"/>
          <w:szCs w:val="24"/>
        </w:rPr>
      </w:pPr>
    </w:p>
    <w:p w:rsidR="008E71AE" w:rsidRPr="009C5E24" w:rsidRDefault="008E71AE" w:rsidP="009C5E24">
      <w:pPr>
        <w:pStyle w:val="IEctext1014TNR"/>
        <w:spacing w:line="360" w:lineRule="auto"/>
        <w:ind w:firstLine="720"/>
        <w:rPr>
          <w:rFonts w:ascii="Arial" w:hAnsi="Arial" w:cs="Arial"/>
          <w:sz w:val="24"/>
          <w:szCs w:val="24"/>
        </w:rPr>
      </w:pPr>
      <w:r w:rsidRPr="009C5E24">
        <w:rPr>
          <w:rFonts w:ascii="Arial" w:hAnsi="Arial" w:cs="Arial"/>
          <w:sz w:val="24"/>
          <w:szCs w:val="24"/>
        </w:rPr>
        <w:t xml:space="preserve">OSBA believes that the </w:t>
      </w:r>
      <w:r w:rsidR="00B14056" w:rsidRPr="009C5E24">
        <w:rPr>
          <w:rFonts w:ascii="Arial" w:hAnsi="Arial" w:cs="Arial"/>
          <w:sz w:val="24"/>
          <w:szCs w:val="24"/>
        </w:rPr>
        <w:t>c</w:t>
      </w:r>
      <w:r w:rsidR="008917AC" w:rsidRPr="009C5E24">
        <w:rPr>
          <w:rFonts w:ascii="Arial" w:hAnsi="Arial" w:cs="Arial"/>
          <w:sz w:val="24"/>
          <w:szCs w:val="24"/>
        </w:rPr>
        <w:t xml:space="preserve">ost-benefit </w:t>
      </w:r>
      <w:r w:rsidRPr="009C5E24">
        <w:rPr>
          <w:rFonts w:ascii="Arial" w:hAnsi="Arial" w:cs="Arial"/>
          <w:sz w:val="24"/>
          <w:szCs w:val="24"/>
        </w:rPr>
        <w:t>analysis would be more credible if cost</w:t>
      </w:r>
      <w:r w:rsidR="00F74DFF">
        <w:rPr>
          <w:rFonts w:ascii="Arial" w:hAnsi="Arial" w:cs="Arial"/>
          <w:sz w:val="24"/>
          <w:szCs w:val="24"/>
        </w:rPr>
        <w:noBreakHyphen/>
      </w:r>
      <w:r w:rsidRPr="009C5E24">
        <w:rPr>
          <w:rFonts w:ascii="Arial" w:hAnsi="Arial" w:cs="Arial"/>
          <w:sz w:val="24"/>
          <w:szCs w:val="24"/>
        </w:rPr>
        <w:t xml:space="preserve">benefit comparisons were made between high-efficiency options, not standard efficiency options.  </w:t>
      </w:r>
      <w:r w:rsidR="00C1073A">
        <w:rPr>
          <w:rFonts w:ascii="Arial" w:hAnsi="Arial" w:cs="Arial"/>
          <w:sz w:val="24"/>
          <w:szCs w:val="24"/>
        </w:rPr>
        <w:t>In the alternative, OSBA asserts that if a standard</w:t>
      </w:r>
      <w:r w:rsidR="00C1073A">
        <w:rPr>
          <w:rFonts w:ascii="Arial" w:hAnsi="Arial" w:cs="Arial"/>
          <w:sz w:val="24"/>
          <w:szCs w:val="24"/>
        </w:rPr>
        <w:noBreakHyphen/>
        <w:t>efficiency comparison is used, then the costs of the standard</w:t>
      </w:r>
      <w:r w:rsidR="00C1073A">
        <w:rPr>
          <w:rFonts w:ascii="Arial" w:hAnsi="Arial" w:cs="Arial"/>
          <w:sz w:val="24"/>
          <w:szCs w:val="24"/>
        </w:rPr>
        <w:noBreakHyphen/>
        <w:t xml:space="preserve">efficiency electric equipment should be considered a sunk cost </w:t>
      </w:r>
      <w:r w:rsidRPr="009C5E24">
        <w:rPr>
          <w:rFonts w:ascii="Arial" w:hAnsi="Arial" w:cs="Arial"/>
          <w:sz w:val="24"/>
          <w:szCs w:val="24"/>
        </w:rPr>
        <w:t xml:space="preserve">in the analysis. </w:t>
      </w:r>
      <w:r w:rsidR="003F6AC3">
        <w:rPr>
          <w:rFonts w:ascii="Arial" w:hAnsi="Arial" w:cs="Arial"/>
          <w:sz w:val="24"/>
          <w:szCs w:val="24"/>
        </w:rPr>
        <w:t xml:space="preserve"> </w:t>
      </w:r>
      <w:r w:rsidRPr="009C5E24">
        <w:rPr>
          <w:rFonts w:ascii="Arial" w:hAnsi="Arial" w:cs="Arial"/>
          <w:sz w:val="24"/>
          <w:szCs w:val="24"/>
        </w:rPr>
        <w:t>(</w:t>
      </w:r>
      <w:r w:rsidR="00465B8A" w:rsidRPr="009C5E24">
        <w:rPr>
          <w:rFonts w:ascii="Arial" w:hAnsi="Arial" w:cs="Arial"/>
          <w:sz w:val="24"/>
          <w:szCs w:val="24"/>
        </w:rPr>
        <w:t xml:space="preserve">OSBA </w:t>
      </w:r>
      <w:r w:rsidR="00974B97" w:rsidRPr="009C5E24">
        <w:rPr>
          <w:rFonts w:ascii="Arial" w:hAnsi="Arial" w:cs="Arial"/>
          <w:sz w:val="24"/>
          <w:szCs w:val="24"/>
        </w:rPr>
        <w:t>Reply Comments</w:t>
      </w:r>
      <w:r w:rsidRPr="009C5E24">
        <w:rPr>
          <w:rFonts w:ascii="Arial" w:hAnsi="Arial" w:cs="Arial"/>
          <w:sz w:val="24"/>
          <w:szCs w:val="24"/>
        </w:rPr>
        <w:t xml:space="preserve"> at 6</w:t>
      </w:r>
      <w:r w:rsidR="003F6AC3">
        <w:rPr>
          <w:rFonts w:ascii="Arial" w:hAnsi="Arial" w:cs="Arial"/>
          <w:sz w:val="24"/>
          <w:szCs w:val="24"/>
        </w:rPr>
        <w:t>.</w:t>
      </w:r>
      <w:r w:rsidRPr="009C5E24">
        <w:rPr>
          <w:rFonts w:ascii="Arial" w:hAnsi="Arial" w:cs="Arial"/>
          <w:sz w:val="24"/>
          <w:szCs w:val="24"/>
        </w:rPr>
        <w:t>)</w:t>
      </w:r>
    </w:p>
    <w:p w:rsidR="008E71AE" w:rsidRPr="009C5E24" w:rsidRDefault="008E71AE" w:rsidP="009C5E24">
      <w:pPr>
        <w:pStyle w:val="ListParagraph"/>
        <w:spacing w:after="0" w:line="360" w:lineRule="auto"/>
        <w:ind w:left="0"/>
        <w:rPr>
          <w:rFonts w:ascii="Arial" w:hAnsi="Arial" w:cs="Arial"/>
          <w:sz w:val="24"/>
          <w:szCs w:val="24"/>
        </w:rPr>
      </w:pPr>
    </w:p>
    <w:p w:rsidR="000B6997" w:rsidRDefault="00771F47" w:rsidP="009C5E24">
      <w:pPr>
        <w:pStyle w:val="ListParagraph"/>
        <w:spacing w:after="0" w:line="360" w:lineRule="auto"/>
        <w:ind w:left="0" w:firstLine="720"/>
        <w:rPr>
          <w:rFonts w:ascii="Arial" w:hAnsi="Arial" w:cs="Arial"/>
          <w:sz w:val="24"/>
          <w:szCs w:val="24"/>
        </w:rPr>
      </w:pPr>
      <w:r w:rsidRPr="009C5E24">
        <w:rPr>
          <w:rFonts w:ascii="Arial" w:hAnsi="Arial" w:cs="Arial"/>
          <w:sz w:val="24"/>
          <w:szCs w:val="24"/>
        </w:rPr>
        <w:t xml:space="preserve">FirstEnergy </w:t>
      </w:r>
      <w:r w:rsidR="00667A9E" w:rsidRPr="009C5E24">
        <w:rPr>
          <w:rFonts w:ascii="Arial" w:hAnsi="Arial" w:cs="Arial"/>
          <w:sz w:val="24"/>
          <w:szCs w:val="24"/>
        </w:rPr>
        <w:t>maintains</w:t>
      </w:r>
      <w:r w:rsidR="00BE1428" w:rsidRPr="009C5E24">
        <w:rPr>
          <w:rFonts w:ascii="Arial" w:hAnsi="Arial" w:cs="Arial"/>
          <w:sz w:val="24"/>
          <w:szCs w:val="24"/>
        </w:rPr>
        <w:t xml:space="preserve"> that</w:t>
      </w:r>
      <w:r w:rsidR="00E04BC6">
        <w:rPr>
          <w:rFonts w:ascii="Arial" w:hAnsi="Arial" w:cs="Arial"/>
          <w:sz w:val="24"/>
          <w:szCs w:val="24"/>
        </w:rPr>
        <w:t>,</w:t>
      </w:r>
      <w:r w:rsidR="00BE1428" w:rsidRPr="009C5E24">
        <w:rPr>
          <w:rFonts w:ascii="Arial" w:hAnsi="Arial" w:cs="Arial"/>
          <w:sz w:val="24"/>
          <w:szCs w:val="24"/>
        </w:rPr>
        <w:t xml:space="preserve"> </w:t>
      </w:r>
      <w:r w:rsidRPr="009C5E24">
        <w:rPr>
          <w:rFonts w:ascii="Arial" w:hAnsi="Arial" w:cs="Arial"/>
          <w:sz w:val="24"/>
          <w:szCs w:val="24"/>
        </w:rPr>
        <w:t xml:space="preserve">to the extent the fuel switching measures are to be considered, </w:t>
      </w:r>
      <w:r w:rsidR="00667A9E" w:rsidRPr="009C5E24">
        <w:rPr>
          <w:rFonts w:ascii="Arial" w:hAnsi="Arial" w:cs="Arial"/>
          <w:sz w:val="24"/>
          <w:szCs w:val="24"/>
        </w:rPr>
        <w:t>r</w:t>
      </w:r>
      <w:r w:rsidRPr="009C5E24">
        <w:rPr>
          <w:rFonts w:ascii="Arial" w:hAnsi="Arial" w:cs="Arial"/>
          <w:sz w:val="24"/>
          <w:szCs w:val="24"/>
        </w:rPr>
        <w:t>egulatory guidance as to efficiency standards for eligible gas equipment (</w:t>
      </w:r>
      <w:r w:rsidRPr="00E04BC6">
        <w:rPr>
          <w:rFonts w:ascii="Arial" w:hAnsi="Arial" w:cs="Arial"/>
          <w:i/>
          <w:sz w:val="24"/>
          <w:szCs w:val="24"/>
        </w:rPr>
        <w:t>i.e.</w:t>
      </w:r>
      <w:r w:rsidRPr="009C5E24">
        <w:rPr>
          <w:rFonts w:ascii="Arial" w:hAnsi="Arial" w:cs="Arial"/>
          <w:sz w:val="24"/>
          <w:szCs w:val="24"/>
        </w:rPr>
        <w:t>, standard</w:t>
      </w:r>
      <w:r w:rsidR="00E04BC6">
        <w:rPr>
          <w:rFonts w:ascii="Arial" w:hAnsi="Arial" w:cs="Arial"/>
          <w:sz w:val="24"/>
          <w:szCs w:val="24"/>
        </w:rPr>
        <w:noBreakHyphen/>
      </w:r>
      <w:r w:rsidRPr="009C5E24">
        <w:rPr>
          <w:rFonts w:ascii="Arial" w:hAnsi="Arial" w:cs="Arial"/>
          <w:sz w:val="24"/>
          <w:szCs w:val="24"/>
        </w:rPr>
        <w:t>efficiency or better</w:t>
      </w:r>
      <w:r w:rsidR="00E04BC6">
        <w:rPr>
          <w:rFonts w:ascii="Arial" w:hAnsi="Arial" w:cs="Arial"/>
          <w:sz w:val="24"/>
          <w:szCs w:val="24"/>
        </w:rPr>
        <w:noBreakHyphen/>
      </w:r>
      <w:r w:rsidRPr="009C5E24">
        <w:rPr>
          <w:rFonts w:ascii="Arial" w:hAnsi="Arial" w:cs="Arial"/>
          <w:sz w:val="24"/>
          <w:szCs w:val="24"/>
        </w:rPr>
        <w:t>than</w:t>
      </w:r>
      <w:r w:rsidR="00E04BC6">
        <w:rPr>
          <w:rFonts w:ascii="Arial" w:hAnsi="Arial" w:cs="Arial"/>
          <w:sz w:val="24"/>
          <w:szCs w:val="24"/>
        </w:rPr>
        <w:noBreakHyphen/>
      </w:r>
      <w:r w:rsidRPr="009C5E24">
        <w:rPr>
          <w:rFonts w:ascii="Arial" w:hAnsi="Arial" w:cs="Arial"/>
          <w:sz w:val="24"/>
          <w:szCs w:val="24"/>
        </w:rPr>
        <w:t>standard efficiency)</w:t>
      </w:r>
      <w:r w:rsidR="00667A9E" w:rsidRPr="009C5E24">
        <w:rPr>
          <w:rFonts w:ascii="Arial" w:hAnsi="Arial" w:cs="Arial"/>
          <w:sz w:val="24"/>
          <w:szCs w:val="24"/>
        </w:rPr>
        <w:t xml:space="preserve"> should be provided. </w:t>
      </w:r>
      <w:r w:rsidR="003F6AC3">
        <w:rPr>
          <w:rFonts w:ascii="Arial" w:hAnsi="Arial" w:cs="Arial"/>
          <w:sz w:val="24"/>
          <w:szCs w:val="24"/>
        </w:rPr>
        <w:t xml:space="preserve"> </w:t>
      </w:r>
      <w:r w:rsidRPr="009C5E24">
        <w:rPr>
          <w:rFonts w:ascii="Arial" w:hAnsi="Arial" w:cs="Arial"/>
          <w:sz w:val="24"/>
          <w:szCs w:val="24"/>
        </w:rPr>
        <w:t>(</w:t>
      </w:r>
      <w:r w:rsidR="00465B8A" w:rsidRPr="009C5E24">
        <w:rPr>
          <w:rFonts w:ascii="Arial" w:hAnsi="Arial" w:cs="Arial"/>
          <w:sz w:val="24"/>
          <w:szCs w:val="24"/>
        </w:rPr>
        <w:t xml:space="preserve">FirstEnergy </w:t>
      </w:r>
      <w:r w:rsidR="00974B97" w:rsidRPr="009C5E24">
        <w:rPr>
          <w:rFonts w:ascii="Arial" w:hAnsi="Arial" w:cs="Arial"/>
          <w:sz w:val="24"/>
          <w:szCs w:val="24"/>
        </w:rPr>
        <w:t>Reply Comments</w:t>
      </w:r>
      <w:r w:rsidRPr="009C5E24">
        <w:rPr>
          <w:rFonts w:ascii="Arial" w:hAnsi="Arial" w:cs="Arial"/>
          <w:sz w:val="24"/>
          <w:szCs w:val="24"/>
        </w:rPr>
        <w:t xml:space="preserve"> at 1</w:t>
      </w:r>
      <w:r w:rsidR="003F6AC3">
        <w:rPr>
          <w:rFonts w:ascii="Arial" w:hAnsi="Arial" w:cs="Arial"/>
          <w:sz w:val="24"/>
          <w:szCs w:val="24"/>
        </w:rPr>
        <w:t>.</w:t>
      </w:r>
      <w:r w:rsidRPr="009C5E24">
        <w:rPr>
          <w:rFonts w:ascii="Arial" w:hAnsi="Arial" w:cs="Arial"/>
          <w:sz w:val="24"/>
          <w:szCs w:val="24"/>
        </w:rPr>
        <w:t>)</w:t>
      </w:r>
    </w:p>
    <w:p w:rsidR="00BA64A4" w:rsidRDefault="00BA64A4" w:rsidP="009C5E24">
      <w:pPr>
        <w:pStyle w:val="ListParagraph"/>
        <w:spacing w:after="0" w:line="360" w:lineRule="auto"/>
        <w:ind w:left="0" w:firstLine="720"/>
        <w:rPr>
          <w:rFonts w:ascii="Arial" w:hAnsi="Arial" w:cs="Arial"/>
          <w:sz w:val="24"/>
          <w:szCs w:val="24"/>
        </w:rPr>
      </w:pPr>
    </w:p>
    <w:p w:rsidR="00BA64A4" w:rsidRPr="009C5E24" w:rsidRDefault="00E46B41" w:rsidP="009C5E24">
      <w:pPr>
        <w:pStyle w:val="ListParagraph"/>
        <w:spacing w:after="0" w:line="360" w:lineRule="auto"/>
        <w:ind w:left="0" w:firstLine="720"/>
        <w:rPr>
          <w:rFonts w:ascii="Arial" w:hAnsi="Arial" w:cs="Arial"/>
          <w:sz w:val="24"/>
          <w:szCs w:val="24"/>
        </w:rPr>
      </w:pPr>
      <w:r>
        <w:rPr>
          <w:rFonts w:ascii="Arial" w:hAnsi="Arial" w:cs="Arial"/>
          <w:sz w:val="24"/>
          <w:szCs w:val="24"/>
        </w:rPr>
        <w:t>UGI notes that t</w:t>
      </w:r>
      <w:r w:rsidR="00BA64A4">
        <w:rPr>
          <w:rFonts w:ascii="Arial" w:hAnsi="Arial" w:cs="Arial"/>
          <w:sz w:val="24"/>
          <w:szCs w:val="24"/>
        </w:rPr>
        <w:t>he fuel substitution subgroup that developed the sample programs for discussion noted that it had used standard efficiency measure</w:t>
      </w:r>
      <w:r w:rsidR="00072585">
        <w:rPr>
          <w:rFonts w:ascii="Arial" w:hAnsi="Arial" w:cs="Arial"/>
          <w:sz w:val="24"/>
          <w:szCs w:val="24"/>
        </w:rPr>
        <w:t>s</w:t>
      </w:r>
      <w:r w:rsidR="00BA64A4">
        <w:rPr>
          <w:rFonts w:ascii="Arial" w:hAnsi="Arial" w:cs="Arial"/>
          <w:sz w:val="24"/>
          <w:szCs w:val="24"/>
        </w:rPr>
        <w:t xml:space="preserve"> </w:t>
      </w:r>
      <w:r w:rsidR="00072585">
        <w:rPr>
          <w:rFonts w:ascii="Arial" w:hAnsi="Arial" w:cs="Arial"/>
          <w:sz w:val="24"/>
          <w:szCs w:val="24"/>
        </w:rPr>
        <w:t>because</w:t>
      </w:r>
      <w:r w:rsidR="00BA64A4">
        <w:rPr>
          <w:rFonts w:ascii="Arial" w:hAnsi="Arial" w:cs="Arial"/>
          <w:sz w:val="24"/>
          <w:szCs w:val="24"/>
        </w:rPr>
        <w:t xml:space="preserve"> electric customers will not save additional electric energy once a gas appliance is substituted for an electric appliance</w:t>
      </w:r>
      <w:r w:rsidR="00072585">
        <w:rPr>
          <w:rFonts w:ascii="Arial" w:hAnsi="Arial" w:cs="Arial"/>
          <w:sz w:val="24"/>
          <w:szCs w:val="24"/>
        </w:rPr>
        <w:t xml:space="preserve">.  In addition, </w:t>
      </w:r>
      <w:r>
        <w:rPr>
          <w:rFonts w:ascii="Arial" w:hAnsi="Arial" w:cs="Arial"/>
          <w:sz w:val="24"/>
          <w:szCs w:val="24"/>
        </w:rPr>
        <w:t>UGI notes that it would not be appropriate to have EDC customers funding the upgrade of gas appliances from low to higher efficiency</w:t>
      </w:r>
      <w:r w:rsidR="00BA64A4">
        <w:rPr>
          <w:rFonts w:ascii="Arial" w:hAnsi="Arial" w:cs="Arial"/>
          <w:sz w:val="24"/>
          <w:szCs w:val="24"/>
        </w:rPr>
        <w:t>.  (</w:t>
      </w:r>
      <w:r>
        <w:rPr>
          <w:rFonts w:ascii="Arial" w:hAnsi="Arial" w:cs="Arial"/>
          <w:sz w:val="24"/>
          <w:szCs w:val="24"/>
        </w:rPr>
        <w:t>UGI Reply Comments at 9.</w:t>
      </w:r>
      <w:r w:rsidR="00072585">
        <w:rPr>
          <w:rFonts w:ascii="Arial" w:hAnsi="Arial" w:cs="Arial"/>
          <w:sz w:val="24"/>
          <w:szCs w:val="24"/>
        </w:rPr>
        <w:t>)</w:t>
      </w:r>
    </w:p>
    <w:p w:rsidR="001A04DD" w:rsidRPr="009C5E24" w:rsidRDefault="001A04DD" w:rsidP="009C5E24">
      <w:pPr>
        <w:pStyle w:val="ListParagraph"/>
        <w:spacing w:after="0" w:line="360" w:lineRule="auto"/>
        <w:ind w:left="0" w:firstLine="720"/>
        <w:rPr>
          <w:rFonts w:ascii="Arial" w:hAnsi="Arial" w:cs="Arial"/>
          <w:sz w:val="24"/>
          <w:szCs w:val="24"/>
        </w:rPr>
      </w:pPr>
    </w:p>
    <w:p w:rsidR="001A04DD" w:rsidRPr="009C5E24" w:rsidRDefault="001A04DD" w:rsidP="009C5E24">
      <w:pPr>
        <w:spacing w:after="0" w:line="360" w:lineRule="auto"/>
        <w:ind w:left="20" w:firstLine="288"/>
        <w:rPr>
          <w:rFonts w:ascii="Arial" w:hAnsi="Arial" w:cs="Arial"/>
          <w:sz w:val="24"/>
          <w:szCs w:val="24"/>
          <w:u w:val="single"/>
        </w:rPr>
      </w:pPr>
      <w:r w:rsidRPr="009C5E24">
        <w:rPr>
          <w:rFonts w:ascii="Arial" w:hAnsi="Arial" w:cs="Arial"/>
          <w:sz w:val="24"/>
          <w:szCs w:val="24"/>
          <w:u w:val="single"/>
        </w:rPr>
        <w:t>Staff Recommendation</w:t>
      </w:r>
    </w:p>
    <w:p w:rsidR="00506874" w:rsidRPr="009C5E24" w:rsidRDefault="00506874" w:rsidP="009C5E24">
      <w:pPr>
        <w:spacing w:after="0" w:line="360" w:lineRule="auto"/>
        <w:ind w:left="20" w:firstLine="288"/>
        <w:rPr>
          <w:rFonts w:ascii="Arial" w:hAnsi="Arial" w:cs="Arial"/>
          <w:sz w:val="24"/>
          <w:szCs w:val="24"/>
          <w:u w:val="single"/>
        </w:rPr>
      </w:pPr>
    </w:p>
    <w:p w:rsidR="00506874" w:rsidRPr="00C21904" w:rsidRDefault="00E02DC6" w:rsidP="009C5E24">
      <w:pPr>
        <w:spacing w:after="0" w:line="360" w:lineRule="auto"/>
        <w:ind w:left="20" w:firstLine="700"/>
        <w:rPr>
          <w:rFonts w:ascii="Arial" w:hAnsi="Arial" w:cs="Arial"/>
          <w:sz w:val="24"/>
          <w:szCs w:val="24"/>
        </w:rPr>
      </w:pPr>
      <w:r w:rsidRPr="00C21904">
        <w:rPr>
          <w:rFonts w:ascii="Arial" w:hAnsi="Arial" w:cs="Arial"/>
          <w:sz w:val="24"/>
          <w:szCs w:val="24"/>
        </w:rPr>
        <w:t>Staff agrees with FirstEnergy that guidance must be provided to determine efficiency standards for any equipment involved in a fuel switching program.  Staff finds that the most effective manner in which to develop such guidance is</w:t>
      </w:r>
      <w:r w:rsidR="00BF3E91">
        <w:rPr>
          <w:rFonts w:ascii="Arial" w:hAnsi="Arial" w:cs="Arial"/>
          <w:sz w:val="24"/>
          <w:szCs w:val="24"/>
        </w:rPr>
        <w:t xml:space="preserve"> through the annual TRM update process and the TRC test revision process set forth in the TRC Test Order.  </w:t>
      </w:r>
      <w:r w:rsidR="003F6AC3" w:rsidRPr="00C21904">
        <w:rPr>
          <w:rFonts w:ascii="Arial" w:hAnsi="Arial" w:cs="Arial"/>
          <w:sz w:val="24"/>
          <w:szCs w:val="24"/>
        </w:rPr>
        <w:t xml:space="preserve">  </w:t>
      </w:r>
      <w:r w:rsidR="004D0DBD" w:rsidRPr="00C21904">
        <w:rPr>
          <w:rFonts w:ascii="Arial" w:hAnsi="Arial" w:cs="Arial"/>
          <w:sz w:val="24"/>
          <w:szCs w:val="24"/>
        </w:rPr>
        <w:t xml:space="preserve">As the Commission must consider various issues in approving any EDC EE&amp;C </w:t>
      </w:r>
      <w:r w:rsidR="009D76B8" w:rsidRPr="00C21904">
        <w:rPr>
          <w:rFonts w:ascii="Arial" w:hAnsi="Arial" w:cs="Arial"/>
          <w:sz w:val="24"/>
          <w:szCs w:val="24"/>
        </w:rPr>
        <w:t>p</w:t>
      </w:r>
      <w:r w:rsidR="004D0DBD" w:rsidRPr="00C21904">
        <w:rPr>
          <w:rFonts w:ascii="Arial" w:hAnsi="Arial" w:cs="Arial"/>
          <w:sz w:val="24"/>
          <w:szCs w:val="24"/>
        </w:rPr>
        <w:t>lan</w:t>
      </w:r>
      <w:r w:rsidR="00FC153A" w:rsidRPr="00C21904">
        <w:rPr>
          <w:rFonts w:ascii="Arial" w:hAnsi="Arial" w:cs="Arial"/>
          <w:sz w:val="24"/>
          <w:szCs w:val="24"/>
        </w:rPr>
        <w:t xml:space="preserve"> revision</w:t>
      </w:r>
      <w:r w:rsidR="004D0DBD" w:rsidRPr="00C21904">
        <w:rPr>
          <w:rFonts w:ascii="Arial" w:hAnsi="Arial" w:cs="Arial"/>
          <w:sz w:val="24"/>
          <w:szCs w:val="24"/>
        </w:rPr>
        <w:t xml:space="preserve">, the particulars of any proposed fuel switching measure must be justified based on the </w:t>
      </w:r>
      <w:r w:rsidR="00A9340A" w:rsidRPr="00C21904">
        <w:rPr>
          <w:rFonts w:ascii="Arial" w:hAnsi="Arial" w:cs="Arial"/>
          <w:sz w:val="24"/>
          <w:szCs w:val="24"/>
        </w:rPr>
        <w:t>evidence presented, to include</w:t>
      </w:r>
      <w:r w:rsidR="009D76B8" w:rsidRPr="00C21904">
        <w:rPr>
          <w:rFonts w:ascii="Arial" w:hAnsi="Arial" w:cs="Arial"/>
          <w:sz w:val="24"/>
          <w:szCs w:val="24"/>
        </w:rPr>
        <w:t>,</w:t>
      </w:r>
      <w:r w:rsidR="00A9340A" w:rsidRPr="00C21904">
        <w:rPr>
          <w:rFonts w:ascii="Arial" w:hAnsi="Arial" w:cs="Arial"/>
          <w:sz w:val="24"/>
          <w:szCs w:val="24"/>
        </w:rPr>
        <w:t xml:space="preserve"> but not limited to</w:t>
      </w:r>
      <w:r w:rsidR="009D76B8" w:rsidRPr="00C21904">
        <w:rPr>
          <w:rFonts w:ascii="Arial" w:hAnsi="Arial" w:cs="Arial"/>
          <w:sz w:val="24"/>
          <w:szCs w:val="24"/>
        </w:rPr>
        <w:t>,</w:t>
      </w:r>
      <w:r w:rsidR="00A9340A" w:rsidRPr="00C21904">
        <w:rPr>
          <w:rFonts w:ascii="Arial" w:hAnsi="Arial" w:cs="Arial"/>
          <w:sz w:val="24"/>
          <w:szCs w:val="24"/>
        </w:rPr>
        <w:t xml:space="preserve"> the </w:t>
      </w:r>
      <w:r w:rsidR="004D0DBD" w:rsidRPr="00C21904">
        <w:rPr>
          <w:rFonts w:ascii="Arial" w:hAnsi="Arial" w:cs="Arial"/>
          <w:sz w:val="24"/>
          <w:szCs w:val="24"/>
        </w:rPr>
        <w:t xml:space="preserve">intent of Act 129, the ability </w:t>
      </w:r>
      <w:r w:rsidR="004D0DBD" w:rsidRPr="00C21904">
        <w:rPr>
          <w:rFonts w:ascii="Arial" w:hAnsi="Arial" w:cs="Arial"/>
          <w:sz w:val="24"/>
          <w:szCs w:val="24"/>
        </w:rPr>
        <w:lastRenderedPageBreak/>
        <w:t xml:space="preserve">of such </w:t>
      </w:r>
      <w:r w:rsidR="00A9340A" w:rsidRPr="00C21904">
        <w:rPr>
          <w:rFonts w:ascii="Arial" w:hAnsi="Arial" w:cs="Arial"/>
          <w:sz w:val="24"/>
          <w:szCs w:val="24"/>
        </w:rPr>
        <w:t xml:space="preserve">measures to assist the EDC in meeting the mandated targets, the costs and </w:t>
      </w:r>
      <w:r w:rsidR="009D76B8" w:rsidRPr="00C21904">
        <w:rPr>
          <w:rFonts w:ascii="Arial" w:hAnsi="Arial" w:cs="Arial"/>
          <w:sz w:val="24"/>
          <w:szCs w:val="24"/>
        </w:rPr>
        <w:t xml:space="preserve">the </w:t>
      </w:r>
      <w:r w:rsidR="00A9340A" w:rsidRPr="00C21904">
        <w:rPr>
          <w:rFonts w:ascii="Arial" w:hAnsi="Arial" w:cs="Arial"/>
          <w:sz w:val="24"/>
          <w:szCs w:val="24"/>
        </w:rPr>
        <w:t>benefits of such measures.</w:t>
      </w:r>
    </w:p>
    <w:p w:rsidR="005412B5" w:rsidRDefault="005412B5" w:rsidP="009C5E24">
      <w:pPr>
        <w:spacing w:after="0" w:line="360" w:lineRule="auto"/>
        <w:ind w:left="20" w:firstLine="700"/>
        <w:rPr>
          <w:rFonts w:ascii="Arial" w:hAnsi="Arial" w:cs="Arial"/>
          <w:color w:val="C00000"/>
          <w:sz w:val="24"/>
          <w:szCs w:val="24"/>
        </w:rPr>
      </w:pPr>
    </w:p>
    <w:p w:rsidR="005412B5" w:rsidRDefault="005412B5" w:rsidP="009C5E24">
      <w:pPr>
        <w:spacing w:after="0" w:line="360" w:lineRule="auto"/>
        <w:ind w:left="20" w:firstLine="700"/>
        <w:rPr>
          <w:rFonts w:ascii="Arial" w:hAnsi="Arial" w:cs="Arial"/>
          <w:color w:val="C00000"/>
          <w:sz w:val="24"/>
          <w:szCs w:val="24"/>
        </w:rPr>
      </w:pPr>
    </w:p>
    <w:p w:rsidR="00465B8A" w:rsidRPr="009C5E24" w:rsidRDefault="000B6997" w:rsidP="00B40C24">
      <w:pPr>
        <w:pStyle w:val="ListParagraph"/>
        <w:numPr>
          <w:ilvl w:val="0"/>
          <w:numId w:val="6"/>
        </w:numPr>
        <w:spacing w:after="0" w:line="360" w:lineRule="auto"/>
        <w:outlineLvl w:val="1"/>
        <w:rPr>
          <w:rFonts w:ascii="Arial" w:hAnsi="Arial" w:cs="Arial"/>
          <w:sz w:val="24"/>
          <w:szCs w:val="24"/>
          <w:u w:val="single"/>
        </w:rPr>
      </w:pPr>
      <w:bookmarkStart w:id="12" w:name="_Toc260316375"/>
      <w:r w:rsidRPr="009C5E24">
        <w:rPr>
          <w:rFonts w:ascii="Arial" w:hAnsi="Arial" w:cs="Arial"/>
          <w:sz w:val="24"/>
          <w:szCs w:val="24"/>
          <w:u w:val="single"/>
        </w:rPr>
        <w:t>If permitted, what level of electric energy savings should be attributable to the conversion?</w:t>
      </w:r>
      <w:bookmarkEnd w:id="12"/>
      <w:r w:rsidR="00465B8A" w:rsidRPr="009C5E24">
        <w:rPr>
          <w:rFonts w:ascii="Arial" w:hAnsi="Arial" w:cs="Arial"/>
          <w:sz w:val="24"/>
          <w:szCs w:val="24"/>
          <w:u w:val="single"/>
        </w:rPr>
        <w:t xml:space="preserve"> </w:t>
      </w:r>
    </w:p>
    <w:p w:rsidR="000B6997" w:rsidRPr="009C5E24" w:rsidRDefault="00465B8A" w:rsidP="009C5E24">
      <w:pPr>
        <w:pStyle w:val="ListParagraph"/>
        <w:spacing w:after="0" w:line="360" w:lineRule="auto"/>
        <w:ind w:left="360"/>
        <w:rPr>
          <w:rFonts w:ascii="Arial" w:hAnsi="Arial" w:cs="Arial"/>
          <w:sz w:val="24"/>
          <w:szCs w:val="24"/>
          <w:u w:val="single"/>
        </w:rPr>
      </w:pPr>
      <w:r w:rsidRPr="009C5E24">
        <w:rPr>
          <w:rFonts w:ascii="Arial" w:hAnsi="Arial" w:cs="Arial"/>
          <w:sz w:val="24"/>
          <w:szCs w:val="24"/>
          <w:u w:val="single"/>
        </w:rPr>
        <w:t xml:space="preserve">                                                                                                                                         </w:t>
      </w:r>
    </w:p>
    <w:p w:rsidR="000B6997" w:rsidRPr="009C5E24" w:rsidRDefault="000B6997" w:rsidP="00B40C24">
      <w:pPr>
        <w:pStyle w:val="ListParagraph"/>
        <w:numPr>
          <w:ilvl w:val="1"/>
          <w:numId w:val="3"/>
        </w:numPr>
        <w:spacing w:after="0" w:line="360" w:lineRule="auto"/>
        <w:ind w:hanging="720"/>
        <w:outlineLvl w:val="2"/>
        <w:rPr>
          <w:rFonts w:ascii="Arial" w:hAnsi="Arial" w:cs="Arial"/>
          <w:sz w:val="24"/>
          <w:szCs w:val="24"/>
          <w:u w:val="single"/>
        </w:rPr>
      </w:pPr>
      <w:bookmarkStart w:id="13" w:name="_Toc260316376"/>
      <w:r w:rsidRPr="009C5E24">
        <w:rPr>
          <w:rFonts w:ascii="Arial" w:hAnsi="Arial" w:cs="Arial"/>
          <w:sz w:val="24"/>
          <w:szCs w:val="24"/>
          <w:u w:val="single"/>
        </w:rPr>
        <w:t>Should it be the total electric load reduction?</w:t>
      </w:r>
      <w:bookmarkEnd w:id="13"/>
    </w:p>
    <w:p w:rsidR="006351A3" w:rsidRPr="009C5E24" w:rsidRDefault="006351A3" w:rsidP="009C5E24">
      <w:pPr>
        <w:pStyle w:val="ListParagraph"/>
        <w:spacing w:after="0" w:line="360" w:lineRule="auto"/>
        <w:rPr>
          <w:rFonts w:ascii="Arial" w:hAnsi="Arial" w:cs="Arial"/>
          <w:sz w:val="24"/>
          <w:szCs w:val="24"/>
        </w:rPr>
      </w:pPr>
    </w:p>
    <w:p w:rsidR="000B6997" w:rsidRPr="009C5E24" w:rsidRDefault="000B6997" w:rsidP="00B40C24">
      <w:pPr>
        <w:pStyle w:val="ListParagraph"/>
        <w:numPr>
          <w:ilvl w:val="1"/>
          <w:numId w:val="3"/>
        </w:numPr>
        <w:spacing w:after="0" w:line="360" w:lineRule="auto"/>
        <w:ind w:hanging="720"/>
        <w:outlineLvl w:val="2"/>
        <w:rPr>
          <w:rFonts w:ascii="Arial" w:hAnsi="Arial" w:cs="Arial"/>
          <w:sz w:val="24"/>
          <w:szCs w:val="24"/>
          <w:u w:val="single"/>
        </w:rPr>
      </w:pPr>
      <w:bookmarkStart w:id="14" w:name="_Toc260316377"/>
      <w:r w:rsidRPr="009C5E24">
        <w:rPr>
          <w:rFonts w:ascii="Arial" w:hAnsi="Arial" w:cs="Arial"/>
          <w:sz w:val="24"/>
          <w:szCs w:val="24"/>
          <w:u w:val="single"/>
        </w:rPr>
        <w:t>Should it be the difference between the btu ratings of the system being replaced and the new system?</w:t>
      </w:r>
      <w:bookmarkEnd w:id="14"/>
    </w:p>
    <w:p w:rsidR="00512E96" w:rsidRPr="009C5E24" w:rsidRDefault="00512E96" w:rsidP="009C5E24">
      <w:pPr>
        <w:pStyle w:val="IEctext1014TNR"/>
        <w:spacing w:line="360" w:lineRule="auto"/>
        <w:ind w:firstLine="720"/>
        <w:rPr>
          <w:rFonts w:ascii="Arial" w:hAnsi="Arial" w:cs="Arial"/>
          <w:sz w:val="24"/>
          <w:szCs w:val="24"/>
        </w:rPr>
      </w:pPr>
    </w:p>
    <w:p w:rsidR="007A22DC" w:rsidRDefault="007A22DC" w:rsidP="009C5E24">
      <w:pPr>
        <w:pStyle w:val="IEctext1014TNR"/>
        <w:spacing w:line="360" w:lineRule="auto"/>
        <w:ind w:firstLine="720"/>
        <w:rPr>
          <w:rFonts w:ascii="Arial" w:hAnsi="Arial" w:cs="Arial"/>
          <w:sz w:val="24"/>
          <w:szCs w:val="24"/>
        </w:rPr>
      </w:pPr>
      <w:r w:rsidRPr="009C5E24">
        <w:rPr>
          <w:rFonts w:ascii="Arial" w:hAnsi="Arial" w:cs="Arial"/>
          <w:sz w:val="24"/>
          <w:szCs w:val="24"/>
        </w:rPr>
        <w:t>OSBA comments that unless and until the legislature mandates some kind of social welfare test, neither the btus of fuel consumed nor the tons of carbon emitted are relevant to the analysis, except to the extent they are already reflected in incremental costs.  Cost-benefit analyses should be based on actual costs and benefits consistent with the TRC methodology. (</w:t>
      </w:r>
      <w:r w:rsidR="00465B8A" w:rsidRPr="009C5E24">
        <w:rPr>
          <w:rFonts w:ascii="Arial" w:hAnsi="Arial" w:cs="Arial"/>
          <w:sz w:val="24"/>
          <w:szCs w:val="24"/>
        </w:rPr>
        <w:t xml:space="preserve">OSBA </w:t>
      </w:r>
      <w:r w:rsidR="00974B97" w:rsidRPr="009C5E24">
        <w:rPr>
          <w:rFonts w:ascii="Arial" w:hAnsi="Arial" w:cs="Arial"/>
          <w:sz w:val="24"/>
          <w:szCs w:val="24"/>
        </w:rPr>
        <w:t>Reply Comments</w:t>
      </w:r>
      <w:r w:rsidRPr="009C5E24">
        <w:rPr>
          <w:rFonts w:ascii="Arial" w:hAnsi="Arial" w:cs="Arial"/>
          <w:sz w:val="24"/>
          <w:szCs w:val="24"/>
        </w:rPr>
        <w:t xml:space="preserve"> at 6</w:t>
      </w:r>
      <w:r w:rsidR="00072585">
        <w:rPr>
          <w:rFonts w:ascii="Arial" w:hAnsi="Arial" w:cs="Arial"/>
          <w:sz w:val="24"/>
          <w:szCs w:val="24"/>
        </w:rPr>
        <w:t>.</w:t>
      </w:r>
      <w:r w:rsidRPr="009C5E24">
        <w:rPr>
          <w:rFonts w:ascii="Arial" w:hAnsi="Arial" w:cs="Arial"/>
          <w:sz w:val="24"/>
          <w:szCs w:val="24"/>
        </w:rPr>
        <w:t>)</w:t>
      </w:r>
    </w:p>
    <w:p w:rsidR="00072585" w:rsidRDefault="00072585" w:rsidP="009C5E24">
      <w:pPr>
        <w:pStyle w:val="IEctext1014TNR"/>
        <w:spacing w:line="360" w:lineRule="auto"/>
        <w:ind w:firstLine="720"/>
        <w:rPr>
          <w:rFonts w:ascii="Arial" w:hAnsi="Arial" w:cs="Arial"/>
          <w:sz w:val="24"/>
          <w:szCs w:val="24"/>
        </w:rPr>
      </w:pPr>
    </w:p>
    <w:p w:rsidR="001A04DD" w:rsidRPr="009C5E24" w:rsidRDefault="001A04DD" w:rsidP="00836B82">
      <w:pPr>
        <w:spacing w:after="0" w:line="360" w:lineRule="auto"/>
        <w:ind w:left="144" w:firstLine="288"/>
        <w:rPr>
          <w:rFonts w:ascii="Arial" w:hAnsi="Arial" w:cs="Arial"/>
          <w:sz w:val="24"/>
          <w:szCs w:val="24"/>
          <w:u w:val="single"/>
        </w:rPr>
      </w:pPr>
      <w:r w:rsidRPr="009C5E24">
        <w:rPr>
          <w:rFonts w:ascii="Arial" w:hAnsi="Arial" w:cs="Arial"/>
          <w:sz w:val="24"/>
          <w:szCs w:val="24"/>
          <w:u w:val="single"/>
        </w:rPr>
        <w:t>Staff Recommendation</w:t>
      </w:r>
    </w:p>
    <w:p w:rsidR="001A04DD" w:rsidRPr="009C5E24" w:rsidRDefault="001A04DD" w:rsidP="009C5E24">
      <w:pPr>
        <w:pStyle w:val="IEctext1014TNR"/>
        <w:spacing w:line="360" w:lineRule="auto"/>
        <w:ind w:firstLine="720"/>
        <w:rPr>
          <w:rFonts w:ascii="Arial" w:hAnsi="Arial" w:cs="Arial"/>
          <w:sz w:val="24"/>
          <w:szCs w:val="24"/>
        </w:rPr>
      </w:pPr>
    </w:p>
    <w:p w:rsidR="00506874" w:rsidRPr="00C21904" w:rsidRDefault="00084841" w:rsidP="009C5E24">
      <w:pPr>
        <w:pStyle w:val="IEctext1014TNR"/>
        <w:spacing w:line="360" w:lineRule="auto"/>
        <w:ind w:firstLine="720"/>
        <w:rPr>
          <w:rFonts w:ascii="Arial" w:hAnsi="Arial" w:cs="Arial"/>
          <w:sz w:val="24"/>
          <w:szCs w:val="24"/>
        </w:rPr>
      </w:pPr>
      <w:r w:rsidRPr="00C21904">
        <w:rPr>
          <w:rFonts w:ascii="Arial" w:hAnsi="Arial" w:cs="Arial"/>
          <w:sz w:val="24"/>
          <w:szCs w:val="24"/>
        </w:rPr>
        <w:t>Staff agrees with the position of OSBA</w:t>
      </w:r>
      <w:r w:rsidR="00F176C8" w:rsidRPr="00C21904">
        <w:rPr>
          <w:rFonts w:ascii="Arial" w:hAnsi="Arial" w:cs="Arial"/>
          <w:sz w:val="24"/>
          <w:szCs w:val="24"/>
        </w:rPr>
        <w:t xml:space="preserve"> that the TRC methodology does not allow for the inclusion of social welfare measures such as avoided </w:t>
      </w:r>
      <w:r w:rsidR="006C314A" w:rsidRPr="00C21904">
        <w:rPr>
          <w:rFonts w:ascii="Arial" w:hAnsi="Arial" w:cs="Arial"/>
          <w:sz w:val="24"/>
          <w:szCs w:val="24"/>
        </w:rPr>
        <w:t xml:space="preserve">carbon dioxide </w:t>
      </w:r>
      <w:r w:rsidR="00F176C8" w:rsidRPr="00C21904">
        <w:rPr>
          <w:rFonts w:ascii="Arial" w:hAnsi="Arial" w:cs="Arial"/>
          <w:sz w:val="24"/>
          <w:szCs w:val="24"/>
        </w:rPr>
        <w:t xml:space="preserve">emissions when performing a cost-benefit analysis of any potential EE&amp;C measure.  Only costs and benefits as defined </w:t>
      </w:r>
      <w:r w:rsidR="0016626D" w:rsidRPr="00C21904">
        <w:rPr>
          <w:rFonts w:ascii="Arial" w:hAnsi="Arial" w:cs="Arial"/>
          <w:sz w:val="24"/>
          <w:szCs w:val="24"/>
        </w:rPr>
        <w:t xml:space="preserve">in the Commission’s </w:t>
      </w:r>
      <w:r w:rsidR="0016626D" w:rsidRPr="00C21904">
        <w:rPr>
          <w:rFonts w:ascii="Arial" w:hAnsi="Arial" w:cs="Arial"/>
          <w:i/>
          <w:sz w:val="24"/>
          <w:szCs w:val="24"/>
        </w:rPr>
        <w:t>Implementation Order</w:t>
      </w:r>
      <w:r w:rsidR="0016626D" w:rsidRPr="00C21904">
        <w:rPr>
          <w:rFonts w:ascii="Arial" w:hAnsi="Arial" w:cs="Arial"/>
          <w:sz w:val="24"/>
          <w:szCs w:val="24"/>
        </w:rPr>
        <w:t xml:space="preserve"> should be considered in any determination of cost</w:t>
      </w:r>
      <w:r w:rsidR="00653D09">
        <w:rPr>
          <w:rFonts w:ascii="Arial" w:hAnsi="Arial" w:cs="Arial"/>
          <w:sz w:val="24"/>
          <w:szCs w:val="24"/>
        </w:rPr>
        <w:t xml:space="preserve"> </w:t>
      </w:r>
      <w:r w:rsidR="0016626D" w:rsidRPr="00C21904">
        <w:rPr>
          <w:rFonts w:ascii="Arial" w:hAnsi="Arial" w:cs="Arial"/>
          <w:sz w:val="24"/>
          <w:szCs w:val="24"/>
        </w:rPr>
        <w:t>effectiveness.</w:t>
      </w:r>
      <w:r w:rsidR="00FC153A" w:rsidRPr="00C21904">
        <w:rPr>
          <w:rFonts w:ascii="Arial" w:hAnsi="Arial" w:cs="Arial"/>
          <w:sz w:val="24"/>
          <w:szCs w:val="24"/>
        </w:rPr>
        <w:t xml:space="preserve">  With that said, Staff recommends that the amount of electric consumption and peak demand reductions attributable to any particular fuel switching measure should</w:t>
      </w:r>
      <w:r w:rsidR="00481654" w:rsidRPr="00C21904">
        <w:rPr>
          <w:rFonts w:ascii="Arial" w:hAnsi="Arial" w:cs="Arial"/>
          <w:sz w:val="24"/>
          <w:szCs w:val="24"/>
        </w:rPr>
        <w:t xml:space="preserve"> be established and incorporated into the TRM through the annual TRM update process.  Custom evaluation, measurement and verification (EM&amp;V) methods for determining electric consumption and demand reductions should be developed by </w:t>
      </w:r>
      <w:r w:rsidR="006C314A" w:rsidRPr="00C21904">
        <w:rPr>
          <w:rFonts w:ascii="Arial" w:hAnsi="Arial" w:cs="Arial"/>
          <w:sz w:val="24"/>
          <w:szCs w:val="24"/>
        </w:rPr>
        <w:t>each</w:t>
      </w:r>
      <w:r w:rsidR="00481654" w:rsidRPr="00C21904">
        <w:rPr>
          <w:rFonts w:ascii="Arial" w:hAnsi="Arial" w:cs="Arial"/>
          <w:sz w:val="24"/>
          <w:szCs w:val="24"/>
        </w:rPr>
        <w:t xml:space="preserve"> EDC’s </w:t>
      </w:r>
      <w:r w:rsidR="00481654" w:rsidRPr="00C21904">
        <w:rPr>
          <w:rFonts w:ascii="Arial" w:hAnsi="Arial" w:cs="Arial"/>
          <w:sz w:val="24"/>
          <w:szCs w:val="24"/>
        </w:rPr>
        <w:lastRenderedPageBreak/>
        <w:t xml:space="preserve">independent </w:t>
      </w:r>
      <w:r w:rsidR="00261B0D" w:rsidRPr="00C21904">
        <w:rPr>
          <w:rFonts w:ascii="Arial" w:hAnsi="Arial" w:cs="Arial"/>
          <w:sz w:val="24"/>
          <w:szCs w:val="24"/>
        </w:rPr>
        <w:t xml:space="preserve">monitor and approved by the </w:t>
      </w:r>
      <w:r w:rsidR="006C1C58" w:rsidRPr="00C21904">
        <w:rPr>
          <w:rFonts w:ascii="Arial" w:hAnsi="Arial" w:cs="Arial"/>
          <w:sz w:val="24"/>
          <w:szCs w:val="24"/>
        </w:rPr>
        <w:t>Director of the Bureau of Conservation, Economics and Energy Planning</w:t>
      </w:r>
      <w:r w:rsidR="00261B0D" w:rsidRPr="00C21904">
        <w:rPr>
          <w:rFonts w:ascii="Arial" w:hAnsi="Arial" w:cs="Arial"/>
          <w:sz w:val="24"/>
          <w:szCs w:val="24"/>
        </w:rPr>
        <w:t>.</w:t>
      </w:r>
    </w:p>
    <w:p w:rsidR="00506874" w:rsidRDefault="00506874" w:rsidP="00506874">
      <w:pPr>
        <w:pStyle w:val="IEctext1014TNR"/>
        <w:spacing w:line="360" w:lineRule="auto"/>
        <w:ind w:firstLine="720"/>
        <w:rPr>
          <w:rFonts w:ascii="Arial" w:hAnsi="Arial"/>
          <w:sz w:val="24"/>
        </w:rPr>
      </w:pPr>
    </w:p>
    <w:p w:rsidR="00261B0D" w:rsidRPr="007A22DC" w:rsidRDefault="00261B0D" w:rsidP="00506874">
      <w:pPr>
        <w:pStyle w:val="IEctext1014TNR"/>
        <w:spacing w:line="360" w:lineRule="auto"/>
        <w:ind w:firstLine="720"/>
        <w:rPr>
          <w:rFonts w:ascii="Arial" w:hAnsi="Arial"/>
          <w:sz w:val="24"/>
        </w:rPr>
      </w:pPr>
    </w:p>
    <w:p w:rsidR="000B6997" w:rsidRPr="00282F3D" w:rsidRDefault="000B6997" w:rsidP="00DF01C0">
      <w:pPr>
        <w:pStyle w:val="ListParagraph"/>
        <w:numPr>
          <w:ilvl w:val="0"/>
          <w:numId w:val="6"/>
        </w:numPr>
        <w:spacing w:after="0" w:line="360" w:lineRule="auto"/>
        <w:outlineLvl w:val="1"/>
        <w:rPr>
          <w:rFonts w:ascii="Arial" w:hAnsi="Arial" w:cs="Arial"/>
          <w:sz w:val="24"/>
          <w:szCs w:val="24"/>
          <w:u w:val="single"/>
        </w:rPr>
      </w:pPr>
      <w:bookmarkStart w:id="15" w:name="_Toc260316378"/>
      <w:r w:rsidRPr="00282F3D">
        <w:rPr>
          <w:rFonts w:ascii="Arial" w:hAnsi="Arial" w:cs="Arial"/>
          <w:sz w:val="24"/>
          <w:szCs w:val="24"/>
          <w:u w:val="single"/>
        </w:rPr>
        <w:t>If permitted, what costs should be included in the TRC test analysis of such programs?</w:t>
      </w:r>
      <w:bookmarkEnd w:id="15"/>
    </w:p>
    <w:p w:rsidR="006351A3" w:rsidRPr="00F953DE" w:rsidRDefault="006351A3" w:rsidP="00F953DE">
      <w:pPr>
        <w:pStyle w:val="ListParagraph"/>
        <w:spacing w:after="0" w:line="360" w:lineRule="auto"/>
        <w:ind w:left="0"/>
        <w:rPr>
          <w:rFonts w:ascii="Arial" w:hAnsi="Arial" w:cs="Arial"/>
          <w:sz w:val="24"/>
          <w:szCs w:val="24"/>
        </w:rPr>
      </w:pPr>
    </w:p>
    <w:p w:rsidR="001D3030" w:rsidRDefault="00F953DE" w:rsidP="00F953DE">
      <w:pPr>
        <w:spacing w:after="0" w:line="360" w:lineRule="auto"/>
        <w:ind w:firstLine="720"/>
        <w:rPr>
          <w:rFonts w:ascii="Arial" w:hAnsi="Arial" w:cs="Arial"/>
          <w:sz w:val="24"/>
          <w:szCs w:val="24"/>
        </w:rPr>
      </w:pPr>
      <w:r w:rsidRPr="00F953DE">
        <w:rPr>
          <w:rFonts w:ascii="Arial" w:hAnsi="Arial" w:cs="Arial"/>
          <w:sz w:val="24"/>
          <w:szCs w:val="24"/>
        </w:rPr>
        <w:t>The subcommittee</w:t>
      </w:r>
      <w:r>
        <w:rPr>
          <w:rFonts w:ascii="Arial" w:hAnsi="Arial" w:cs="Arial"/>
          <w:sz w:val="24"/>
          <w:szCs w:val="24"/>
        </w:rPr>
        <w:t xml:space="preserve"> that </w:t>
      </w:r>
      <w:r w:rsidRPr="00F953DE">
        <w:rPr>
          <w:rFonts w:ascii="Arial" w:hAnsi="Arial" w:cs="Arial"/>
          <w:sz w:val="24"/>
          <w:szCs w:val="24"/>
        </w:rPr>
        <w:t xml:space="preserve">was charged with providing cost-benefit analyses for various fuel switching programs laid out </w:t>
      </w:r>
      <w:r>
        <w:rPr>
          <w:rFonts w:ascii="Arial" w:hAnsi="Arial" w:cs="Arial"/>
          <w:sz w:val="24"/>
          <w:szCs w:val="24"/>
        </w:rPr>
        <w:t xml:space="preserve">various cost-benefit analyses </w:t>
      </w:r>
      <w:r w:rsidRPr="00F953DE">
        <w:rPr>
          <w:rFonts w:ascii="Arial" w:hAnsi="Arial" w:cs="Arial"/>
          <w:sz w:val="24"/>
          <w:szCs w:val="24"/>
        </w:rPr>
        <w:t>in MS Excel spreadsheet</w:t>
      </w:r>
      <w:r>
        <w:rPr>
          <w:rFonts w:ascii="Arial" w:hAnsi="Arial" w:cs="Arial"/>
          <w:sz w:val="24"/>
          <w:szCs w:val="24"/>
        </w:rPr>
        <w:t xml:space="preserve">s, attached to this report in the Appendix.  </w:t>
      </w:r>
    </w:p>
    <w:p w:rsidR="001D3030" w:rsidRDefault="001D3030" w:rsidP="00F953DE">
      <w:pPr>
        <w:spacing w:after="0" w:line="360" w:lineRule="auto"/>
        <w:ind w:firstLine="424"/>
        <w:rPr>
          <w:rFonts w:ascii="Arial" w:hAnsi="Arial" w:cs="Arial"/>
          <w:sz w:val="24"/>
          <w:szCs w:val="24"/>
        </w:rPr>
      </w:pPr>
    </w:p>
    <w:p w:rsidR="00F953DE" w:rsidRPr="00F953DE" w:rsidRDefault="001D3030" w:rsidP="001D3030">
      <w:pPr>
        <w:spacing w:after="0" w:line="360" w:lineRule="auto"/>
        <w:ind w:firstLine="720"/>
        <w:rPr>
          <w:rFonts w:ascii="Arial" w:hAnsi="Arial" w:cs="Arial"/>
          <w:sz w:val="24"/>
          <w:szCs w:val="24"/>
        </w:rPr>
      </w:pPr>
      <w:r>
        <w:rPr>
          <w:rFonts w:ascii="Arial" w:hAnsi="Arial" w:cs="Arial"/>
          <w:sz w:val="24"/>
          <w:szCs w:val="24"/>
        </w:rPr>
        <w:t xml:space="preserve">The subcommittee’s cost-benefit tests </w:t>
      </w:r>
      <w:r w:rsidR="001F0DB6">
        <w:rPr>
          <w:rFonts w:ascii="Arial" w:hAnsi="Arial" w:cs="Arial"/>
          <w:sz w:val="24"/>
          <w:szCs w:val="24"/>
        </w:rPr>
        <w:t xml:space="preserve">included the </w:t>
      </w:r>
      <w:r w:rsidRPr="001D3030">
        <w:rPr>
          <w:rFonts w:ascii="Arial" w:hAnsi="Arial" w:cs="Arial"/>
          <w:i/>
          <w:sz w:val="24"/>
          <w:szCs w:val="24"/>
        </w:rPr>
        <w:t>Total Resource Cost Test</w:t>
      </w:r>
      <w:r w:rsidR="001F0DB6">
        <w:rPr>
          <w:rFonts w:ascii="Arial" w:hAnsi="Arial" w:cs="Arial"/>
          <w:i/>
          <w:sz w:val="24"/>
          <w:szCs w:val="24"/>
        </w:rPr>
        <w:t xml:space="preserve">, </w:t>
      </w:r>
      <w:r w:rsidR="001F0DB6" w:rsidRPr="001F0DB6">
        <w:rPr>
          <w:rFonts w:ascii="Arial" w:hAnsi="Arial" w:cs="Arial"/>
          <w:sz w:val="24"/>
          <w:szCs w:val="24"/>
        </w:rPr>
        <w:t xml:space="preserve">as </w:t>
      </w:r>
      <w:r w:rsidR="00F953DE" w:rsidRPr="001F0DB6">
        <w:rPr>
          <w:rFonts w:ascii="Arial" w:hAnsi="Arial" w:cs="Arial"/>
          <w:sz w:val="24"/>
          <w:szCs w:val="24"/>
        </w:rPr>
        <w:t>adopted</w:t>
      </w:r>
      <w:r w:rsidR="00F953DE" w:rsidRPr="00F953DE">
        <w:rPr>
          <w:rFonts w:ascii="Arial" w:hAnsi="Arial" w:cs="Arial"/>
          <w:sz w:val="24"/>
          <w:szCs w:val="24"/>
        </w:rPr>
        <w:t xml:space="preserve"> by Act 129. </w:t>
      </w:r>
      <w:r w:rsidR="001F0DB6">
        <w:rPr>
          <w:rFonts w:ascii="Arial" w:hAnsi="Arial" w:cs="Arial"/>
          <w:sz w:val="24"/>
          <w:szCs w:val="24"/>
        </w:rPr>
        <w:t xml:space="preserve">In addition, </w:t>
      </w:r>
      <w:r w:rsidR="00F953DE" w:rsidRPr="00F953DE">
        <w:rPr>
          <w:rFonts w:ascii="Arial" w:hAnsi="Arial" w:cs="Arial"/>
          <w:sz w:val="24"/>
          <w:szCs w:val="24"/>
        </w:rPr>
        <w:t xml:space="preserve">for informational purposes, this </w:t>
      </w:r>
      <w:r w:rsidR="001F0DB6">
        <w:rPr>
          <w:rFonts w:ascii="Arial" w:hAnsi="Arial" w:cs="Arial"/>
          <w:sz w:val="24"/>
          <w:szCs w:val="24"/>
        </w:rPr>
        <w:t xml:space="preserve">subcommittee’s analysis </w:t>
      </w:r>
      <w:r w:rsidR="00F953DE" w:rsidRPr="00F953DE">
        <w:rPr>
          <w:rFonts w:ascii="Arial" w:hAnsi="Arial" w:cs="Arial"/>
          <w:sz w:val="24"/>
          <w:szCs w:val="24"/>
        </w:rPr>
        <w:t xml:space="preserve">evaluates the </w:t>
      </w:r>
      <w:r w:rsidR="001F0DB6">
        <w:rPr>
          <w:rFonts w:ascii="Arial" w:hAnsi="Arial" w:cs="Arial"/>
          <w:sz w:val="24"/>
          <w:szCs w:val="24"/>
        </w:rPr>
        <w:t xml:space="preserve">fuel switching </w:t>
      </w:r>
      <w:r w:rsidR="00F953DE" w:rsidRPr="00F953DE">
        <w:rPr>
          <w:rFonts w:ascii="Arial" w:hAnsi="Arial" w:cs="Arial"/>
          <w:sz w:val="24"/>
          <w:szCs w:val="24"/>
        </w:rPr>
        <w:t>program</w:t>
      </w:r>
      <w:r w:rsidR="001F0DB6">
        <w:rPr>
          <w:rFonts w:ascii="Arial" w:hAnsi="Arial" w:cs="Arial"/>
          <w:sz w:val="24"/>
          <w:szCs w:val="24"/>
        </w:rPr>
        <w:t>s</w:t>
      </w:r>
      <w:r w:rsidR="00F953DE" w:rsidRPr="00F953DE">
        <w:rPr>
          <w:rFonts w:ascii="Arial" w:hAnsi="Arial" w:cs="Arial"/>
          <w:sz w:val="24"/>
          <w:szCs w:val="24"/>
        </w:rPr>
        <w:t xml:space="preserve"> under five other tests. </w:t>
      </w:r>
      <w:r w:rsidR="001F0DB6">
        <w:rPr>
          <w:rFonts w:ascii="Arial" w:hAnsi="Arial" w:cs="Arial"/>
          <w:sz w:val="24"/>
          <w:szCs w:val="24"/>
        </w:rPr>
        <w:t>T</w:t>
      </w:r>
      <w:r w:rsidR="00F953DE" w:rsidRPr="00F953DE">
        <w:rPr>
          <w:rFonts w:ascii="Arial" w:hAnsi="Arial" w:cs="Arial"/>
          <w:sz w:val="24"/>
          <w:szCs w:val="24"/>
        </w:rPr>
        <w:t>hose tests are:</w:t>
      </w:r>
    </w:p>
    <w:p w:rsidR="001F0DB6" w:rsidRDefault="001F0DB6" w:rsidP="00F953DE">
      <w:pPr>
        <w:spacing w:after="0" w:line="360" w:lineRule="auto"/>
        <w:ind w:firstLine="424"/>
        <w:rPr>
          <w:rFonts w:ascii="Arial" w:hAnsi="Arial" w:cs="Arial"/>
          <w:i/>
          <w:sz w:val="24"/>
          <w:szCs w:val="24"/>
        </w:rPr>
      </w:pPr>
    </w:p>
    <w:p w:rsidR="001F0DB6" w:rsidRDefault="00F953DE" w:rsidP="00831237">
      <w:pPr>
        <w:spacing w:after="0" w:line="360" w:lineRule="auto"/>
        <w:ind w:firstLine="720"/>
        <w:rPr>
          <w:rFonts w:ascii="Arial" w:hAnsi="Arial" w:cs="Arial"/>
          <w:sz w:val="24"/>
          <w:szCs w:val="24"/>
        </w:rPr>
      </w:pPr>
      <w:r w:rsidRPr="00F953DE">
        <w:rPr>
          <w:rFonts w:ascii="Arial" w:hAnsi="Arial" w:cs="Arial"/>
          <w:i/>
          <w:sz w:val="24"/>
          <w:szCs w:val="24"/>
        </w:rPr>
        <w:t xml:space="preserve">Participant Test – </w:t>
      </w:r>
      <w:r w:rsidRPr="00F953DE">
        <w:rPr>
          <w:rFonts w:ascii="Arial" w:hAnsi="Arial" w:cs="Arial"/>
          <w:sz w:val="24"/>
          <w:szCs w:val="24"/>
        </w:rPr>
        <w:t xml:space="preserve">This test looks at the benefits and costs that a participant would experience. </w:t>
      </w:r>
    </w:p>
    <w:p w:rsidR="00472B5A" w:rsidRPr="00F953DE" w:rsidRDefault="00472B5A" w:rsidP="00F953DE">
      <w:pPr>
        <w:spacing w:after="0" w:line="360" w:lineRule="auto"/>
        <w:ind w:firstLine="424"/>
        <w:rPr>
          <w:rFonts w:ascii="Arial" w:hAnsi="Arial" w:cs="Arial"/>
          <w:sz w:val="24"/>
          <w:szCs w:val="24"/>
        </w:rPr>
      </w:pPr>
    </w:p>
    <w:p w:rsidR="001F0DB6" w:rsidRDefault="00F953DE" w:rsidP="00831237">
      <w:pPr>
        <w:spacing w:after="0" w:line="360" w:lineRule="auto"/>
        <w:ind w:firstLine="720"/>
        <w:rPr>
          <w:rFonts w:ascii="Arial" w:hAnsi="Arial" w:cs="Arial"/>
          <w:sz w:val="24"/>
          <w:szCs w:val="24"/>
        </w:rPr>
      </w:pPr>
      <w:r w:rsidRPr="00F953DE">
        <w:rPr>
          <w:rFonts w:ascii="Arial" w:hAnsi="Arial" w:cs="Arial"/>
          <w:i/>
          <w:sz w:val="24"/>
          <w:szCs w:val="24"/>
        </w:rPr>
        <w:t xml:space="preserve">Rate Impact Measure Test – </w:t>
      </w:r>
      <w:r w:rsidRPr="00F953DE">
        <w:rPr>
          <w:rFonts w:ascii="Arial" w:hAnsi="Arial" w:cs="Arial"/>
          <w:sz w:val="24"/>
          <w:szCs w:val="24"/>
        </w:rPr>
        <w:t>This test looks at the avoided costs and incremental revenues of the affected EDC</w:t>
      </w:r>
      <w:r w:rsidR="00472B5A">
        <w:rPr>
          <w:rFonts w:ascii="Arial" w:hAnsi="Arial" w:cs="Arial"/>
          <w:sz w:val="24"/>
          <w:szCs w:val="24"/>
        </w:rPr>
        <w:t>s</w:t>
      </w:r>
      <w:r w:rsidRPr="00F953DE">
        <w:rPr>
          <w:rFonts w:ascii="Arial" w:hAnsi="Arial" w:cs="Arial"/>
          <w:sz w:val="24"/>
          <w:szCs w:val="24"/>
        </w:rPr>
        <w:t xml:space="preserve"> and NGDCs</w:t>
      </w:r>
      <w:r w:rsidR="00472B5A">
        <w:rPr>
          <w:rFonts w:ascii="Arial" w:hAnsi="Arial" w:cs="Arial"/>
          <w:sz w:val="24"/>
          <w:szCs w:val="24"/>
        </w:rPr>
        <w:t>.</w:t>
      </w:r>
    </w:p>
    <w:p w:rsidR="00472B5A" w:rsidRPr="00F953DE" w:rsidRDefault="00472B5A" w:rsidP="00F953DE">
      <w:pPr>
        <w:spacing w:after="0" w:line="360" w:lineRule="auto"/>
        <w:ind w:firstLine="424"/>
        <w:rPr>
          <w:rFonts w:ascii="Arial" w:hAnsi="Arial" w:cs="Arial"/>
          <w:sz w:val="24"/>
          <w:szCs w:val="24"/>
        </w:rPr>
      </w:pPr>
    </w:p>
    <w:p w:rsidR="00F953DE" w:rsidRDefault="00F953DE" w:rsidP="00831237">
      <w:pPr>
        <w:spacing w:after="0" w:line="360" w:lineRule="auto"/>
        <w:ind w:firstLine="720"/>
        <w:rPr>
          <w:rFonts w:ascii="Arial" w:hAnsi="Arial" w:cs="Arial"/>
          <w:sz w:val="24"/>
          <w:szCs w:val="24"/>
        </w:rPr>
      </w:pPr>
      <w:r w:rsidRPr="00F953DE">
        <w:rPr>
          <w:rFonts w:ascii="Arial" w:hAnsi="Arial" w:cs="Arial"/>
          <w:i/>
          <w:sz w:val="24"/>
          <w:szCs w:val="24"/>
        </w:rPr>
        <w:t xml:space="preserve">Program Administrator Test – </w:t>
      </w:r>
      <w:r w:rsidRPr="00F953DE">
        <w:rPr>
          <w:rFonts w:ascii="Arial" w:hAnsi="Arial" w:cs="Arial"/>
          <w:sz w:val="24"/>
          <w:szCs w:val="24"/>
        </w:rPr>
        <w:t>This test compares avoided EDC costs to program costs and incremental NGDC costs</w:t>
      </w:r>
      <w:r w:rsidR="00472B5A">
        <w:rPr>
          <w:rFonts w:ascii="Arial" w:hAnsi="Arial" w:cs="Arial"/>
          <w:sz w:val="24"/>
          <w:szCs w:val="24"/>
        </w:rPr>
        <w:t>.</w:t>
      </w:r>
    </w:p>
    <w:p w:rsidR="001F0DB6" w:rsidRPr="00F953DE" w:rsidRDefault="001F0DB6" w:rsidP="00F953DE">
      <w:pPr>
        <w:spacing w:after="0" w:line="360" w:lineRule="auto"/>
        <w:ind w:firstLine="424"/>
        <w:rPr>
          <w:rFonts w:ascii="Arial" w:hAnsi="Arial" w:cs="Arial"/>
          <w:sz w:val="24"/>
          <w:szCs w:val="24"/>
        </w:rPr>
      </w:pPr>
    </w:p>
    <w:p w:rsidR="001F0DB6" w:rsidRDefault="00F953DE" w:rsidP="00831237">
      <w:pPr>
        <w:spacing w:after="0" w:line="360" w:lineRule="auto"/>
        <w:ind w:firstLine="720"/>
        <w:rPr>
          <w:rFonts w:ascii="Arial" w:hAnsi="Arial" w:cs="Arial"/>
          <w:sz w:val="24"/>
          <w:szCs w:val="24"/>
        </w:rPr>
      </w:pPr>
      <w:r w:rsidRPr="00F953DE">
        <w:rPr>
          <w:rFonts w:ascii="Arial" w:hAnsi="Arial" w:cs="Arial"/>
          <w:i/>
          <w:sz w:val="24"/>
          <w:szCs w:val="24"/>
        </w:rPr>
        <w:t xml:space="preserve">Primary Fuel Utility Cost Test – </w:t>
      </w:r>
      <w:r w:rsidRPr="00F953DE">
        <w:rPr>
          <w:rFonts w:ascii="Arial" w:hAnsi="Arial" w:cs="Arial"/>
          <w:sz w:val="24"/>
          <w:szCs w:val="24"/>
        </w:rPr>
        <w:t xml:space="preserve">This test compares avoided EDC costs to the costs of the EDC incentive payment. </w:t>
      </w:r>
    </w:p>
    <w:p w:rsidR="00472B5A" w:rsidRPr="00F953DE" w:rsidRDefault="00472B5A" w:rsidP="00F953DE">
      <w:pPr>
        <w:spacing w:after="0" w:line="360" w:lineRule="auto"/>
        <w:ind w:firstLine="424"/>
        <w:rPr>
          <w:rFonts w:ascii="Arial" w:hAnsi="Arial" w:cs="Arial"/>
          <w:sz w:val="24"/>
          <w:szCs w:val="24"/>
        </w:rPr>
      </w:pPr>
    </w:p>
    <w:p w:rsidR="00F953DE" w:rsidRDefault="00F953DE" w:rsidP="00831237">
      <w:pPr>
        <w:spacing w:after="0" w:line="360" w:lineRule="auto"/>
        <w:ind w:firstLine="720"/>
        <w:rPr>
          <w:rFonts w:ascii="Arial" w:hAnsi="Arial" w:cs="Arial"/>
          <w:sz w:val="24"/>
          <w:szCs w:val="24"/>
        </w:rPr>
      </w:pPr>
      <w:r w:rsidRPr="00F953DE">
        <w:rPr>
          <w:rFonts w:ascii="Arial" w:hAnsi="Arial" w:cs="Arial"/>
          <w:i/>
          <w:sz w:val="24"/>
          <w:szCs w:val="24"/>
        </w:rPr>
        <w:t xml:space="preserve">Alternate Fuel Utility Cost Test – </w:t>
      </w:r>
      <w:r w:rsidRPr="00F953DE">
        <w:rPr>
          <w:rFonts w:ascii="Arial" w:hAnsi="Arial" w:cs="Arial"/>
          <w:sz w:val="24"/>
          <w:szCs w:val="24"/>
        </w:rPr>
        <w:t xml:space="preserve">This is not </w:t>
      </w:r>
      <w:r w:rsidR="006C314A">
        <w:rPr>
          <w:rFonts w:ascii="Arial" w:hAnsi="Arial" w:cs="Arial"/>
          <w:sz w:val="24"/>
          <w:szCs w:val="24"/>
        </w:rPr>
        <w:t>a test</w:t>
      </w:r>
      <w:r w:rsidRPr="00F953DE">
        <w:rPr>
          <w:rFonts w:ascii="Arial" w:hAnsi="Arial" w:cs="Arial"/>
          <w:sz w:val="24"/>
          <w:szCs w:val="24"/>
        </w:rPr>
        <w:t xml:space="preserve"> </w:t>
      </w:r>
      <w:r w:rsidR="006C314A">
        <w:rPr>
          <w:rFonts w:ascii="Arial" w:hAnsi="Arial" w:cs="Arial"/>
          <w:sz w:val="24"/>
          <w:szCs w:val="24"/>
        </w:rPr>
        <w:t>but</w:t>
      </w:r>
      <w:r w:rsidRPr="00F953DE">
        <w:rPr>
          <w:rFonts w:ascii="Arial" w:hAnsi="Arial" w:cs="Arial"/>
          <w:sz w:val="24"/>
          <w:szCs w:val="24"/>
        </w:rPr>
        <w:t xml:space="preserve"> instead displays the incremental natural gas supply costs associated with the use of </w:t>
      </w:r>
      <w:r w:rsidR="00472B5A">
        <w:rPr>
          <w:rFonts w:ascii="Arial" w:hAnsi="Arial" w:cs="Arial"/>
          <w:sz w:val="24"/>
          <w:szCs w:val="24"/>
        </w:rPr>
        <w:t xml:space="preserve">a </w:t>
      </w:r>
      <w:r w:rsidRPr="00F953DE">
        <w:rPr>
          <w:rFonts w:ascii="Arial" w:hAnsi="Arial" w:cs="Arial"/>
          <w:sz w:val="24"/>
          <w:szCs w:val="24"/>
        </w:rPr>
        <w:t>natural gas appliance.</w:t>
      </w:r>
    </w:p>
    <w:p w:rsidR="001F0DB6" w:rsidRDefault="001F0DB6" w:rsidP="00F953DE">
      <w:pPr>
        <w:spacing w:after="0" w:line="360" w:lineRule="auto"/>
        <w:ind w:firstLine="424"/>
        <w:rPr>
          <w:rFonts w:ascii="Arial" w:hAnsi="Arial" w:cs="Arial"/>
          <w:sz w:val="24"/>
          <w:szCs w:val="24"/>
        </w:rPr>
      </w:pPr>
    </w:p>
    <w:p w:rsidR="00A70EFE" w:rsidRDefault="00A70EFE" w:rsidP="00F953DE">
      <w:pPr>
        <w:spacing w:after="0" w:line="360" w:lineRule="auto"/>
        <w:ind w:firstLine="424"/>
        <w:rPr>
          <w:rFonts w:ascii="Arial" w:hAnsi="Arial" w:cs="Arial"/>
          <w:sz w:val="24"/>
          <w:szCs w:val="24"/>
        </w:rPr>
      </w:pPr>
      <w:r>
        <w:rPr>
          <w:rFonts w:ascii="Arial" w:hAnsi="Arial" w:cs="Arial"/>
          <w:sz w:val="24"/>
          <w:szCs w:val="24"/>
        </w:rPr>
        <w:lastRenderedPageBreak/>
        <w:tab/>
        <w:t>Various parties supplied specific criticism</w:t>
      </w:r>
      <w:r w:rsidR="0089672B">
        <w:rPr>
          <w:rFonts w:ascii="Arial" w:hAnsi="Arial" w:cs="Arial"/>
          <w:sz w:val="24"/>
          <w:szCs w:val="24"/>
        </w:rPr>
        <w:t>s</w:t>
      </w:r>
      <w:r>
        <w:rPr>
          <w:rFonts w:ascii="Arial" w:hAnsi="Arial" w:cs="Arial"/>
          <w:sz w:val="24"/>
          <w:szCs w:val="24"/>
        </w:rPr>
        <w:t xml:space="preserve"> and critique</w:t>
      </w:r>
      <w:r w:rsidR="0089672B">
        <w:rPr>
          <w:rFonts w:ascii="Arial" w:hAnsi="Arial" w:cs="Arial"/>
          <w:sz w:val="24"/>
          <w:szCs w:val="24"/>
        </w:rPr>
        <w:t>s</w:t>
      </w:r>
      <w:r>
        <w:rPr>
          <w:rFonts w:ascii="Arial" w:hAnsi="Arial" w:cs="Arial"/>
          <w:sz w:val="24"/>
          <w:szCs w:val="24"/>
        </w:rPr>
        <w:t xml:space="preserve"> of the cost-benefit analyses provided for the five natural gas fuel switching examples.</w:t>
      </w:r>
    </w:p>
    <w:p w:rsidR="005412B5" w:rsidRPr="00F953DE" w:rsidRDefault="005412B5" w:rsidP="00F953DE">
      <w:pPr>
        <w:spacing w:after="0" w:line="360" w:lineRule="auto"/>
        <w:ind w:firstLine="424"/>
        <w:rPr>
          <w:rFonts w:ascii="Arial" w:hAnsi="Arial" w:cs="Arial"/>
          <w:sz w:val="24"/>
          <w:szCs w:val="24"/>
        </w:rPr>
      </w:pPr>
    </w:p>
    <w:p w:rsidR="00F466CD" w:rsidRDefault="00F466CD" w:rsidP="00512E96">
      <w:pPr>
        <w:autoSpaceDE w:val="0"/>
        <w:autoSpaceDN w:val="0"/>
        <w:adjustRightInd w:val="0"/>
        <w:spacing w:after="0" w:line="360" w:lineRule="auto"/>
        <w:ind w:firstLine="720"/>
        <w:rPr>
          <w:rFonts w:ascii="Arial" w:hAnsi="Arial" w:cs="Arial"/>
          <w:sz w:val="24"/>
          <w:szCs w:val="24"/>
        </w:rPr>
      </w:pPr>
      <w:r w:rsidRPr="00512E96">
        <w:rPr>
          <w:rFonts w:ascii="Arial" w:hAnsi="Arial" w:cs="Arial"/>
          <w:sz w:val="24"/>
          <w:szCs w:val="24"/>
        </w:rPr>
        <w:t>FirstEnergy maintains that</w:t>
      </w:r>
      <w:r w:rsidR="006C314A">
        <w:rPr>
          <w:rFonts w:ascii="Arial" w:hAnsi="Arial" w:cs="Arial"/>
          <w:sz w:val="24"/>
          <w:szCs w:val="24"/>
        </w:rPr>
        <w:t>,</w:t>
      </w:r>
      <w:r w:rsidRPr="00512E96">
        <w:rPr>
          <w:rFonts w:ascii="Arial" w:hAnsi="Arial" w:cs="Arial"/>
          <w:sz w:val="24"/>
          <w:szCs w:val="24"/>
        </w:rPr>
        <w:t xml:space="preserve"> to the extent the fuel switching measures are to be considered, the Commission should provide regulatory guidance as to avoided cost treatment for gas and other alternative fuel sources.</w:t>
      </w:r>
      <w:r w:rsidR="00465B8A">
        <w:rPr>
          <w:rFonts w:ascii="Arial" w:hAnsi="Arial" w:cs="Arial"/>
          <w:sz w:val="24"/>
          <w:szCs w:val="24"/>
        </w:rPr>
        <w:t xml:space="preserve"> </w:t>
      </w:r>
      <w:r w:rsidR="003D0347">
        <w:rPr>
          <w:rFonts w:ascii="Arial" w:hAnsi="Arial" w:cs="Arial"/>
          <w:sz w:val="24"/>
          <w:szCs w:val="24"/>
        </w:rPr>
        <w:t xml:space="preserve"> </w:t>
      </w:r>
      <w:r w:rsidR="00465B8A">
        <w:rPr>
          <w:rFonts w:ascii="Arial" w:hAnsi="Arial" w:cs="Arial"/>
          <w:sz w:val="24"/>
          <w:szCs w:val="24"/>
        </w:rPr>
        <w:t xml:space="preserve">(FirstEnergy Reply Comments at </w:t>
      </w:r>
      <w:r w:rsidR="002D500A">
        <w:rPr>
          <w:rFonts w:ascii="Arial" w:hAnsi="Arial" w:cs="Arial"/>
          <w:sz w:val="24"/>
          <w:szCs w:val="24"/>
        </w:rPr>
        <w:t>1</w:t>
      </w:r>
      <w:r w:rsidR="003D0347">
        <w:rPr>
          <w:rFonts w:ascii="Arial" w:hAnsi="Arial" w:cs="Arial"/>
          <w:sz w:val="24"/>
          <w:szCs w:val="24"/>
        </w:rPr>
        <w:t>.</w:t>
      </w:r>
      <w:r w:rsidR="00465B8A">
        <w:rPr>
          <w:rFonts w:ascii="Arial" w:hAnsi="Arial" w:cs="Arial"/>
          <w:sz w:val="24"/>
          <w:szCs w:val="24"/>
        </w:rPr>
        <w:t>)</w:t>
      </w:r>
    </w:p>
    <w:p w:rsidR="00465B8A" w:rsidRPr="00512E96" w:rsidRDefault="00465B8A" w:rsidP="00512E96">
      <w:pPr>
        <w:autoSpaceDE w:val="0"/>
        <w:autoSpaceDN w:val="0"/>
        <w:adjustRightInd w:val="0"/>
        <w:spacing w:after="0" w:line="360" w:lineRule="auto"/>
        <w:ind w:firstLine="720"/>
        <w:rPr>
          <w:rFonts w:ascii="Arial" w:hAnsi="Arial" w:cs="Arial"/>
          <w:sz w:val="24"/>
          <w:szCs w:val="24"/>
        </w:rPr>
      </w:pPr>
    </w:p>
    <w:p w:rsidR="00B8567F" w:rsidRPr="00512E96" w:rsidRDefault="00B8567F" w:rsidP="00512E96">
      <w:pPr>
        <w:pStyle w:val="IEctext1014TNR"/>
        <w:spacing w:line="360" w:lineRule="auto"/>
        <w:ind w:firstLine="720"/>
        <w:rPr>
          <w:rFonts w:ascii="Arial" w:hAnsi="Arial" w:cs="Arial"/>
          <w:sz w:val="24"/>
          <w:szCs w:val="24"/>
        </w:rPr>
      </w:pPr>
      <w:r w:rsidRPr="00512E96">
        <w:rPr>
          <w:rFonts w:ascii="Arial" w:hAnsi="Arial" w:cs="Arial"/>
          <w:sz w:val="24"/>
          <w:szCs w:val="24"/>
        </w:rPr>
        <w:t xml:space="preserve">OSBA states that the parameters used in the analysis provided thus far are simplistic and appear to contain significant and unexplained biases in favor of the fuel switching option.  Other participants have questioned certain </w:t>
      </w:r>
      <w:r w:rsidR="00F032CD" w:rsidRPr="00512E96">
        <w:rPr>
          <w:rFonts w:ascii="Arial" w:hAnsi="Arial" w:cs="Arial"/>
          <w:sz w:val="24"/>
          <w:szCs w:val="24"/>
        </w:rPr>
        <w:t xml:space="preserve">assumptions </w:t>
      </w:r>
      <w:r w:rsidR="00F032CD">
        <w:rPr>
          <w:rFonts w:ascii="Arial" w:hAnsi="Arial" w:cs="Arial"/>
          <w:sz w:val="24"/>
          <w:szCs w:val="24"/>
        </w:rPr>
        <w:t>(</w:t>
      </w:r>
      <w:r w:rsidRPr="006C314A">
        <w:rPr>
          <w:rFonts w:ascii="Arial" w:hAnsi="Arial" w:cs="Arial"/>
          <w:i/>
          <w:sz w:val="24"/>
          <w:szCs w:val="24"/>
        </w:rPr>
        <w:t>e.g.</w:t>
      </w:r>
      <w:r w:rsidRPr="00512E96">
        <w:rPr>
          <w:rFonts w:ascii="Arial" w:hAnsi="Arial" w:cs="Arial"/>
          <w:sz w:val="24"/>
          <w:szCs w:val="24"/>
        </w:rPr>
        <w:t>, West Penn Power comments at 3).  To inform the debate, the assumptions, parameters and risk factors should be clearly stated.</w:t>
      </w:r>
      <w:r w:rsidR="00465B8A">
        <w:rPr>
          <w:rFonts w:ascii="Arial" w:hAnsi="Arial" w:cs="Arial"/>
          <w:sz w:val="24"/>
          <w:szCs w:val="24"/>
        </w:rPr>
        <w:t xml:space="preserve"> </w:t>
      </w:r>
      <w:r w:rsidR="003D0347">
        <w:rPr>
          <w:rFonts w:ascii="Arial" w:hAnsi="Arial" w:cs="Arial"/>
          <w:sz w:val="24"/>
          <w:szCs w:val="24"/>
        </w:rPr>
        <w:t xml:space="preserve"> </w:t>
      </w:r>
      <w:r w:rsidR="00465B8A">
        <w:rPr>
          <w:rFonts w:ascii="Arial" w:hAnsi="Arial" w:cs="Arial"/>
          <w:sz w:val="24"/>
          <w:szCs w:val="24"/>
        </w:rPr>
        <w:t xml:space="preserve">(OSBA Reply Comments at </w:t>
      </w:r>
      <w:r w:rsidR="002D500A">
        <w:rPr>
          <w:rFonts w:ascii="Arial" w:hAnsi="Arial" w:cs="Arial"/>
          <w:sz w:val="24"/>
          <w:szCs w:val="24"/>
        </w:rPr>
        <w:t>6</w:t>
      </w:r>
      <w:r w:rsidR="003D0347">
        <w:rPr>
          <w:rFonts w:ascii="Arial" w:hAnsi="Arial" w:cs="Arial"/>
          <w:sz w:val="24"/>
          <w:szCs w:val="24"/>
        </w:rPr>
        <w:t>.</w:t>
      </w:r>
      <w:r w:rsidR="00465B8A">
        <w:rPr>
          <w:rFonts w:ascii="Arial" w:hAnsi="Arial" w:cs="Arial"/>
          <w:sz w:val="24"/>
          <w:szCs w:val="24"/>
        </w:rPr>
        <w:t>)</w:t>
      </w:r>
    </w:p>
    <w:p w:rsidR="00C13F3A" w:rsidRPr="00512E96" w:rsidRDefault="00C13F3A" w:rsidP="00512E96">
      <w:pPr>
        <w:spacing w:after="0" w:line="360" w:lineRule="auto"/>
        <w:rPr>
          <w:rFonts w:ascii="Arial" w:hAnsi="Arial" w:cs="Arial"/>
          <w:sz w:val="24"/>
          <w:szCs w:val="24"/>
        </w:rPr>
      </w:pPr>
    </w:p>
    <w:p w:rsidR="00C13F3A" w:rsidRDefault="00C13F3A" w:rsidP="00465B8A">
      <w:pPr>
        <w:spacing w:after="0" w:line="360" w:lineRule="auto"/>
        <w:ind w:firstLine="720"/>
        <w:rPr>
          <w:rFonts w:ascii="Arial" w:hAnsi="Arial" w:cs="Arial"/>
          <w:sz w:val="24"/>
          <w:szCs w:val="24"/>
        </w:rPr>
      </w:pPr>
      <w:r w:rsidRPr="00512E96">
        <w:rPr>
          <w:rFonts w:ascii="Arial" w:hAnsi="Arial" w:cs="Arial"/>
          <w:sz w:val="24"/>
          <w:szCs w:val="24"/>
        </w:rPr>
        <w:t>Allegheny proposes that the TRC test results proposed by the fuel switching sub</w:t>
      </w:r>
      <w:r w:rsidR="00951135">
        <w:rPr>
          <w:rFonts w:ascii="Arial" w:hAnsi="Arial" w:cs="Arial"/>
          <w:sz w:val="24"/>
          <w:szCs w:val="24"/>
        </w:rPr>
        <w:t>committee</w:t>
      </w:r>
      <w:r w:rsidRPr="00512E96">
        <w:rPr>
          <w:rFonts w:ascii="Arial" w:hAnsi="Arial" w:cs="Arial"/>
          <w:sz w:val="24"/>
          <w:szCs w:val="24"/>
        </w:rPr>
        <w:t xml:space="preserve"> should be considered preliminary and not assumed to be representative or final for any proposed fuel switching measures.  The TRC test results proposed by the fuel switching sub</w:t>
      </w:r>
      <w:r w:rsidR="00951135">
        <w:rPr>
          <w:rFonts w:ascii="Arial" w:hAnsi="Arial" w:cs="Arial"/>
          <w:sz w:val="24"/>
          <w:szCs w:val="24"/>
        </w:rPr>
        <w:t>committee</w:t>
      </w:r>
      <w:r w:rsidRPr="00512E96">
        <w:rPr>
          <w:rFonts w:ascii="Arial" w:hAnsi="Arial" w:cs="Arial"/>
          <w:sz w:val="24"/>
          <w:szCs w:val="24"/>
        </w:rPr>
        <w:t xml:space="preserve"> only included certain direct costs and did not necessarily include all customer costs that may apply from location to location, and more importantly did not include any utility or program level costs for administration, management, marketing, or measurement and verification that are required.  Also</w:t>
      </w:r>
      <w:r w:rsidR="00CF1CBB">
        <w:rPr>
          <w:rFonts w:ascii="Arial" w:hAnsi="Arial" w:cs="Arial"/>
          <w:sz w:val="24"/>
          <w:szCs w:val="24"/>
        </w:rPr>
        <w:t>,</w:t>
      </w:r>
      <w:r w:rsidRPr="00512E96">
        <w:rPr>
          <w:rFonts w:ascii="Arial" w:hAnsi="Arial" w:cs="Arial"/>
          <w:sz w:val="24"/>
          <w:szCs w:val="24"/>
        </w:rPr>
        <w:t xml:space="preserve"> as discussed at the </w:t>
      </w:r>
      <w:r w:rsidR="00CF1CBB">
        <w:rPr>
          <w:rFonts w:ascii="Arial" w:hAnsi="Arial" w:cs="Arial"/>
          <w:sz w:val="24"/>
          <w:szCs w:val="24"/>
        </w:rPr>
        <w:t>FSWG</w:t>
      </w:r>
      <w:r w:rsidRPr="00512E96">
        <w:rPr>
          <w:rFonts w:ascii="Arial" w:hAnsi="Arial" w:cs="Arial"/>
          <w:sz w:val="24"/>
          <w:szCs w:val="24"/>
        </w:rPr>
        <w:t xml:space="preserve"> meeting on February 26, 2010, </w:t>
      </w:r>
      <w:r w:rsidR="00951135">
        <w:rPr>
          <w:rFonts w:ascii="Arial" w:hAnsi="Arial" w:cs="Arial"/>
          <w:sz w:val="24"/>
          <w:szCs w:val="24"/>
        </w:rPr>
        <w:t>Allegheny</w:t>
      </w:r>
      <w:r w:rsidRPr="00512E96">
        <w:rPr>
          <w:rFonts w:ascii="Arial" w:hAnsi="Arial" w:cs="Arial"/>
          <w:sz w:val="24"/>
          <w:szCs w:val="24"/>
        </w:rPr>
        <w:t xml:space="preserve"> propose</w:t>
      </w:r>
      <w:r w:rsidR="00CF1CBB">
        <w:rPr>
          <w:rFonts w:ascii="Arial" w:hAnsi="Arial" w:cs="Arial"/>
          <w:sz w:val="24"/>
          <w:szCs w:val="24"/>
        </w:rPr>
        <w:t>s</w:t>
      </w:r>
      <w:r w:rsidRPr="00512E96">
        <w:rPr>
          <w:rFonts w:ascii="Arial" w:hAnsi="Arial" w:cs="Arial"/>
          <w:sz w:val="24"/>
          <w:szCs w:val="24"/>
        </w:rPr>
        <w:t xml:space="preserve"> that the final TRC test adopted by the Commission, as well as the TRM, need to be revised in order to support final cost-effectiveness testing for any proposed fuel switching programs.  As such, until such time that the TRM and TRC are revised to provide the specific instruction</w:t>
      </w:r>
      <w:r w:rsidR="00CF1CBB">
        <w:rPr>
          <w:rFonts w:ascii="Arial" w:hAnsi="Arial" w:cs="Arial"/>
          <w:sz w:val="24"/>
          <w:szCs w:val="24"/>
        </w:rPr>
        <w:t xml:space="preserve"> on any fuel switching measures</w:t>
      </w:r>
      <w:r w:rsidRPr="00512E96">
        <w:rPr>
          <w:rFonts w:ascii="Arial" w:hAnsi="Arial" w:cs="Arial"/>
          <w:sz w:val="24"/>
          <w:szCs w:val="24"/>
        </w:rPr>
        <w:t xml:space="preserve"> and the additional program costs</w:t>
      </w:r>
      <w:r w:rsidR="00CF1CBB">
        <w:rPr>
          <w:rFonts w:ascii="Arial" w:hAnsi="Arial" w:cs="Arial"/>
          <w:sz w:val="24"/>
          <w:szCs w:val="24"/>
        </w:rPr>
        <w:t>,</w:t>
      </w:r>
      <w:r w:rsidRPr="00512E96">
        <w:rPr>
          <w:rFonts w:ascii="Arial" w:hAnsi="Arial" w:cs="Arial"/>
          <w:sz w:val="24"/>
          <w:szCs w:val="24"/>
        </w:rPr>
        <w:t xml:space="preserve"> including all utility and customer costs are fully determined, the TRC test results proposed by the fuel switching sub</w:t>
      </w:r>
      <w:r w:rsidR="00542E89">
        <w:rPr>
          <w:rFonts w:ascii="Arial" w:hAnsi="Arial" w:cs="Arial"/>
          <w:sz w:val="24"/>
          <w:szCs w:val="24"/>
        </w:rPr>
        <w:t>committee</w:t>
      </w:r>
      <w:r w:rsidRPr="00512E96">
        <w:rPr>
          <w:rFonts w:ascii="Arial" w:hAnsi="Arial" w:cs="Arial"/>
          <w:sz w:val="24"/>
          <w:szCs w:val="24"/>
        </w:rPr>
        <w:t xml:space="preserve"> are not representative of the cost</w:t>
      </w:r>
      <w:r w:rsidR="00542E89">
        <w:rPr>
          <w:rFonts w:ascii="Arial" w:hAnsi="Arial" w:cs="Arial"/>
          <w:sz w:val="24"/>
          <w:szCs w:val="24"/>
        </w:rPr>
        <w:noBreakHyphen/>
      </w:r>
      <w:r w:rsidRPr="00512E96">
        <w:rPr>
          <w:rFonts w:ascii="Arial" w:hAnsi="Arial" w:cs="Arial"/>
          <w:sz w:val="24"/>
          <w:szCs w:val="24"/>
        </w:rPr>
        <w:t xml:space="preserve">effectiveness of any proposed fuel switching programs. </w:t>
      </w:r>
      <w:r w:rsidR="003D0347">
        <w:rPr>
          <w:rFonts w:ascii="Arial" w:hAnsi="Arial" w:cs="Arial"/>
          <w:sz w:val="24"/>
          <w:szCs w:val="24"/>
        </w:rPr>
        <w:t xml:space="preserve"> </w:t>
      </w:r>
      <w:r w:rsidRPr="00512E96">
        <w:rPr>
          <w:rFonts w:ascii="Arial" w:hAnsi="Arial" w:cs="Arial"/>
          <w:sz w:val="24"/>
          <w:szCs w:val="24"/>
        </w:rPr>
        <w:t>(</w:t>
      </w:r>
      <w:r w:rsidR="00E86FFD">
        <w:rPr>
          <w:rFonts w:ascii="Arial" w:hAnsi="Arial" w:cs="Arial"/>
          <w:sz w:val="24"/>
          <w:szCs w:val="24"/>
        </w:rPr>
        <w:t xml:space="preserve">Allegheny </w:t>
      </w:r>
      <w:r w:rsidRPr="00512E96">
        <w:rPr>
          <w:rFonts w:ascii="Arial" w:hAnsi="Arial" w:cs="Arial"/>
          <w:sz w:val="24"/>
          <w:szCs w:val="24"/>
        </w:rPr>
        <w:t>R</w:t>
      </w:r>
      <w:r w:rsidR="00B4007E">
        <w:rPr>
          <w:rFonts w:ascii="Arial" w:hAnsi="Arial" w:cs="Arial"/>
          <w:sz w:val="24"/>
          <w:szCs w:val="24"/>
        </w:rPr>
        <w:t>eply Comments</w:t>
      </w:r>
      <w:r w:rsidRPr="00512E96">
        <w:rPr>
          <w:rFonts w:ascii="Arial" w:hAnsi="Arial" w:cs="Arial"/>
          <w:sz w:val="24"/>
          <w:szCs w:val="24"/>
        </w:rPr>
        <w:t xml:space="preserve"> at 2</w:t>
      </w:r>
      <w:r w:rsidR="003D0347">
        <w:rPr>
          <w:rFonts w:ascii="Arial" w:hAnsi="Arial" w:cs="Arial"/>
          <w:sz w:val="24"/>
          <w:szCs w:val="24"/>
        </w:rPr>
        <w:t xml:space="preserve"> and </w:t>
      </w:r>
      <w:r w:rsidRPr="00512E96">
        <w:rPr>
          <w:rFonts w:ascii="Arial" w:hAnsi="Arial" w:cs="Arial"/>
          <w:sz w:val="24"/>
          <w:szCs w:val="24"/>
        </w:rPr>
        <w:t>3</w:t>
      </w:r>
      <w:r w:rsidR="003D0347">
        <w:rPr>
          <w:rFonts w:ascii="Arial" w:hAnsi="Arial" w:cs="Arial"/>
          <w:sz w:val="24"/>
          <w:szCs w:val="24"/>
        </w:rPr>
        <w:t>.</w:t>
      </w:r>
      <w:r w:rsidRPr="00512E96">
        <w:rPr>
          <w:rFonts w:ascii="Arial" w:hAnsi="Arial" w:cs="Arial"/>
          <w:sz w:val="24"/>
          <w:szCs w:val="24"/>
        </w:rPr>
        <w:t>)</w:t>
      </w:r>
    </w:p>
    <w:p w:rsidR="00C33721" w:rsidRDefault="00C33721" w:rsidP="00465B8A">
      <w:pPr>
        <w:spacing w:after="0" w:line="360" w:lineRule="auto"/>
        <w:ind w:firstLine="720"/>
        <w:rPr>
          <w:rFonts w:ascii="Arial" w:hAnsi="Arial" w:cs="Arial"/>
          <w:sz w:val="24"/>
          <w:szCs w:val="24"/>
        </w:rPr>
      </w:pPr>
    </w:p>
    <w:p w:rsidR="00ED0D27" w:rsidRPr="00512E96" w:rsidRDefault="00ED0D27" w:rsidP="00667A9E">
      <w:pPr>
        <w:spacing w:after="0" w:line="360" w:lineRule="auto"/>
        <w:ind w:firstLine="720"/>
        <w:rPr>
          <w:rFonts w:ascii="Arial" w:hAnsi="Arial" w:cs="Arial"/>
          <w:sz w:val="24"/>
          <w:szCs w:val="24"/>
        </w:rPr>
      </w:pPr>
      <w:r w:rsidRPr="00512E96">
        <w:rPr>
          <w:rFonts w:ascii="Arial" w:hAnsi="Arial" w:cs="Arial"/>
          <w:sz w:val="24"/>
          <w:szCs w:val="24"/>
        </w:rPr>
        <w:lastRenderedPageBreak/>
        <w:t>SEF asserts that issues such as market share</w:t>
      </w:r>
      <w:r w:rsidR="00667A9E">
        <w:rPr>
          <w:rFonts w:ascii="Arial" w:hAnsi="Arial" w:cs="Arial"/>
          <w:sz w:val="24"/>
          <w:szCs w:val="24"/>
        </w:rPr>
        <w:t xml:space="preserve"> or</w:t>
      </w:r>
      <w:r w:rsidRPr="00512E96">
        <w:rPr>
          <w:rFonts w:ascii="Arial" w:hAnsi="Arial" w:cs="Arial"/>
          <w:sz w:val="24"/>
          <w:szCs w:val="24"/>
        </w:rPr>
        <w:t xml:space="preserve"> revenue gains or losses for EDCs are irrelevant to the </w:t>
      </w:r>
      <w:r w:rsidR="00542E89">
        <w:rPr>
          <w:rFonts w:ascii="Arial" w:hAnsi="Arial" w:cs="Arial"/>
          <w:sz w:val="24"/>
          <w:szCs w:val="24"/>
        </w:rPr>
        <w:t>Working Group</w:t>
      </w:r>
      <w:r w:rsidRPr="00512E96">
        <w:rPr>
          <w:rFonts w:ascii="Arial" w:hAnsi="Arial" w:cs="Arial"/>
          <w:sz w:val="24"/>
          <w:szCs w:val="24"/>
        </w:rPr>
        <w:t xml:space="preserve"> and in the determination of (1) </w:t>
      </w:r>
      <w:r w:rsidR="00667A9E">
        <w:rPr>
          <w:rFonts w:ascii="Arial" w:hAnsi="Arial" w:cs="Arial"/>
          <w:sz w:val="24"/>
          <w:szCs w:val="24"/>
        </w:rPr>
        <w:t xml:space="preserve">the </w:t>
      </w:r>
      <w:r w:rsidRPr="00512E96">
        <w:rPr>
          <w:rFonts w:ascii="Arial" w:hAnsi="Arial" w:cs="Arial"/>
          <w:sz w:val="24"/>
          <w:szCs w:val="24"/>
        </w:rPr>
        <w:t xml:space="preserve">appropriate treatment of fuel switching in </w:t>
      </w:r>
      <w:r w:rsidR="00CF1CBB">
        <w:rPr>
          <w:rFonts w:ascii="Arial" w:hAnsi="Arial" w:cs="Arial"/>
          <w:sz w:val="24"/>
          <w:szCs w:val="24"/>
        </w:rPr>
        <w:t xml:space="preserve">the </w:t>
      </w:r>
      <w:r w:rsidRPr="00512E96">
        <w:rPr>
          <w:rFonts w:ascii="Arial" w:hAnsi="Arial" w:cs="Arial"/>
          <w:sz w:val="24"/>
          <w:szCs w:val="24"/>
        </w:rPr>
        <w:t xml:space="preserve">context of ACT 129 </w:t>
      </w:r>
      <w:r w:rsidR="00B0342F">
        <w:rPr>
          <w:rFonts w:ascii="Arial" w:hAnsi="Arial" w:cs="Arial"/>
          <w:sz w:val="24"/>
          <w:szCs w:val="24"/>
        </w:rPr>
        <w:t xml:space="preserve">or </w:t>
      </w:r>
      <w:r w:rsidRPr="00512E96">
        <w:rPr>
          <w:rFonts w:ascii="Arial" w:hAnsi="Arial" w:cs="Arial"/>
          <w:sz w:val="24"/>
          <w:szCs w:val="24"/>
        </w:rPr>
        <w:t>(2) whether revisions to the TR</w:t>
      </w:r>
      <w:r w:rsidR="00E86FFD">
        <w:rPr>
          <w:rFonts w:ascii="Arial" w:hAnsi="Arial" w:cs="Arial"/>
          <w:sz w:val="24"/>
          <w:szCs w:val="24"/>
        </w:rPr>
        <w:t>M</w:t>
      </w:r>
      <w:r w:rsidR="00FB4073">
        <w:rPr>
          <w:rFonts w:ascii="Arial" w:hAnsi="Arial" w:cs="Arial"/>
          <w:sz w:val="24"/>
          <w:szCs w:val="24"/>
        </w:rPr>
        <w:t xml:space="preserve"> or (3) whether revisions to the TRC</w:t>
      </w:r>
      <w:r w:rsidRPr="00512E96">
        <w:rPr>
          <w:rFonts w:ascii="Arial" w:hAnsi="Arial" w:cs="Arial"/>
          <w:sz w:val="24"/>
          <w:szCs w:val="24"/>
        </w:rPr>
        <w:t xml:space="preserve"> are warranted.</w:t>
      </w:r>
      <w:r w:rsidR="00DD0BEE" w:rsidRPr="00512E96">
        <w:rPr>
          <w:rFonts w:ascii="Arial" w:hAnsi="Arial" w:cs="Arial"/>
          <w:sz w:val="24"/>
          <w:szCs w:val="24"/>
        </w:rPr>
        <w:t xml:space="preserve"> </w:t>
      </w:r>
      <w:r w:rsidR="003D0347">
        <w:rPr>
          <w:rFonts w:ascii="Arial" w:hAnsi="Arial" w:cs="Arial"/>
          <w:sz w:val="24"/>
          <w:szCs w:val="24"/>
        </w:rPr>
        <w:t xml:space="preserve"> </w:t>
      </w:r>
      <w:r w:rsidR="00DD0BEE" w:rsidRPr="00512E96">
        <w:rPr>
          <w:rFonts w:ascii="Arial" w:hAnsi="Arial" w:cs="Arial"/>
          <w:sz w:val="24"/>
          <w:szCs w:val="24"/>
        </w:rPr>
        <w:t>(</w:t>
      </w:r>
      <w:r w:rsidR="00E86FFD">
        <w:rPr>
          <w:rFonts w:ascii="Arial" w:hAnsi="Arial" w:cs="Arial"/>
          <w:sz w:val="24"/>
          <w:szCs w:val="24"/>
        </w:rPr>
        <w:t xml:space="preserve">SEF </w:t>
      </w:r>
      <w:r w:rsidR="00974B97">
        <w:rPr>
          <w:rFonts w:ascii="Arial" w:hAnsi="Arial" w:cs="Arial"/>
          <w:sz w:val="24"/>
          <w:szCs w:val="24"/>
        </w:rPr>
        <w:t>Reply Comments</w:t>
      </w:r>
      <w:r w:rsidR="00DD0BEE" w:rsidRPr="00512E96">
        <w:rPr>
          <w:rFonts w:ascii="Arial" w:hAnsi="Arial" w:cs="Arial"/>
          <w:sz w:val="24"/>
          <w:szCs w:val="24"/>
        </w:rPr>
        <w:t xml:space="preserve"> at 2</w:t>
      </w:r>
      <w:r w:rsidR="003D0347">
        <w:rPr>
          <w:rFonts w:ascii="Arial" w:hAnsi="Arial" w:cs="Arial"/>
          <w:sz w:val="24"/>
          <w:szCs w:val="24"/>
        </w:rPr>
        <w:t>.</w:t>
      </w:r>
      <w:r w:rsidR="00DD0BEE" w:rsidRPr="00512E96">
        <w:rPr>
          <w:rFonts w:ascii="Arial" w:hAnsi="Arial" w:cs="Arial"/>
          <w:sz w:val="24"/>
          <w:szCs w:val="24"/>
        </w:rPr>
        <w:t>)</w:t>
      </w:r>
    </w:p>
    <w:p w:rsidR="00EC6FB0" w:rsidRPr="00EC6FB0" w:rsidRDefault="00EC6FB0" w:rsidP="00512E96">
      <w:pPr>
        <w:autoSpaceDE w:val="0"/>
        <w:autoSpaceDN w:val="0"/>
        <w:adjustRightInd w:val="0"/>
        <w:spacing w:after="0" w:line="360" w:lineRule="auto"/>
        <w:rPr>
          <w:rFonts w:ascii="Arial" w:hAnsi="Arial" w:cs="Arial"/>
          <w:color w:val="000000"/>
          <w:sz w:val="24"/>
          <w:szCs w:val="24"/>
        </w:rPr>
      </w:pPr>
    </w:p>
    <w:p w:rsidR="00ED0D27" w:rsidRDefault="00EC6FB0" w:rsidP="00512E96">
      <w:pPr>
        <w:spacing w:after="0" w:line="360" w:lineRule="auto"/>
        <w:rPr>
          <w:rFonts w:ascii="Arial" w:hAnsi="Arial" w:cs="Arial"/>
          <w:color w:val="000000"/>
          <w:sz w:val="24"/>
          <w:szCs w:val="24"/>
        </w:rPr>
      </w:pPr>
      <w:r w:rsidRPr="00512E96">
        <w:rPr>
          <w:rFonts w:ascii="Arial" w:hAnsi="Arial" w:cs="Arial"/>
          <w:color w:val="000000"/>
          <w:sz w:val="24"/>
          <w:szCs w:val="24"/>
        </w:rPr>
        <w:t xml:space="preserve"> </w:t>
      </w:r>
      <w:r w:rsidR="00186318">
        <w:rPr>
          <w:rFonts w:ascii="Arial" w:hAnsi="Arial" w:cs="Arial"/>
          <w:color w:val="000000"/>
          <w:sz w:val="24"/>
          <w:szCs w:val="24"/>
        </w:rPr>
        <w:tab/>
      </w:r>
      <w:r w:rsidRPr="00512E96">
        <w:rPr>
          <w:rFonts w:ascii="Arial" w:hAnsi="Arial" w:cs="Arial"/>
          <w:color w:val="000000"/>
          <w:sz w:val="24"/>
          <w:szCs w:val="24"/>
        </w:rPr>
        <w:t>Citizen Power believes that the analys</w:t>
      </w:r>
      <w:r w:rsidR="00CF1CBB">
        <w:rPr>
          <w:rFonts w:ascii="Arial" w:hAnsi="Arial" w:cs="Arial"/>
          <w:color w:val="000000"/>
          <w:sz w:val="24"/>
          <w:szCs w:val="24"/>
        </w:rPr>
        <w:t>e</w:t>
      </w:r>
      <w:r w:rsidRPr="00512E96">
        <w:rPr>
          <w:rFonts w:ascii="Arial" w:hAnsi="Arial" w:cs="Arial"/>
          <w:color w:val="000000"/>
          <w:sz w:val="24"/>
          <w:szCs w:val="24"/>
        </w:rPr>
        <w:t xml:space="preserve">s provided is reflective of a situation where the current equipment is no longer operating. </w:t>
      </w:r>
      <w:r w:rsidR="00542E89">
        <w:rPr>
          <w:rFonts w:ascii="Arial" w:hAnsi="Arial" w:cs="Arial"/>
          <w:color w:val="000000"/>
          <w:sz w:val="24"/>
          <w:szCs w:val="24"/>
        </w:rPr>
        <w:t xml:space="preserve"> </w:t>
      </w:r>
      <w:r w:rsidRPr="00512E96">
        <w:rPr>
          <w:rFonts w:ascii="Arial" w:hAnsi="Arial" w:cs="Arial"/>
          <w:color w:val="000000"/>
          <w:sz w:val="24"/>
          <w:szCs w:val="24"/>
        </w:rPr>
        <w:t>Specifically, the analysis calculates a net measure cost by subtracting the cost of the alternate fuel equipme</w:t>
      </w:r>
      <w:r w:rsidR="00542E89">
        <w:rPr>
          <w:rFonts w:ascii="Arial" w:hAnsi="Arial" w:cs="Arial"/>
          <w:color w:val="000000"/>
          <w:sz w:val="24"/>
          <w:szCs w:val="24"/>
        </w:rPr>
        <w:t>nt from the cost of the measure</w:t>
      </w:r>
      <w:r w:rsidRPr="00512E96">
        <w:rPr>
          <w:rFonts w:ascii="Arial" w:hAnsi="Arial" w:cs="Arial"/>
          <w:color w:val="000000"/>
          <w:sz w:val="24"/>
          <w:szCs w:val="24"/>
        </w:rPr>
        <w:t>.</w:t>
      </w:r>
      <w:r w:rsidR="00542E89">
        <w:rPr>
          <w:rFonts w:ascii="Arial" w:hAnsi="Arial" w:cs="Arial"/>
          <w:color w:val="000000"/>
          <w:sz w:val="24"/>
          <w:szCs w:val="24"/>
        </w:rPr>
        <w:t xml:space="preserve"> </w:t>
      </w:r>
      <w:r w:rsidRPr="00512E96">
        <w:rPr>
          <w:rFonts w:ascii="Arial" w:hAnsi="Arial" w:cs="Arial"/>
          <w:color w:val="000000"/>
          <w:sz w:val="24"/>
          <w:szCs w:val="24"/>
        </w:rPr>
        <w:t xml:space="preserve"> This is appropriate in situations where the original equipment is no longer operational. </w:t>
      </w:r>
      <w:r w:rsidR="00542E89">
        <w:rPr>
          <w:rFonts w:ascii="Arial" w:hAnsi="Arial" w:cs="Arial"/>
          <w:color w:val="000000"/>
          <w:sz w:val="24"/>
          <w:szCs w:val="24"/>
        </w:rPr>
        <w:t xml:space="preserve"> </w:t>
      </w:r>
      <w:r w:rsidRPr="00512E96">
        <w:rPr>
          <w:rFonts w:ascii="Arial" w:hAnsi="Arial" w:cs="Arial"/>
          <w:color w:val="000000"/>
          <w:sz w:val="24"/>
          <w:szCs w:val="24"/>
        </w:rPr>
        <w:t xml:space="preserve">However, in cases where functioning equipment is being replaced, the remaining life of the existing equipment needs to be accounted for in the calculation. </w:t>
      </w:r>
      <w:r w:rsidR="00542E89">
        <w:rPr>
          <w:rFonts w:ascii="Arial" w:hAnsi="Arial" w:cs="Arial"/>
          <w:color w:val="000000"/>
          <w:sz w:val="24"/>
          <w:szCs w:val="24"/>
        </w:rPr>
        <w:t xml:space="preserve"> Citizen Power</w:t>
      </w:r>
      <w:r w:rsidRPr="00512E96">
        <w:rPr>
          <w:rFonts w:ascii="Arial" w:hAnsi="Arial" w:cs="Arial"/>
          <w:color w:val="000000"/>
          <w:sz w:val="24"/>
          <w:szCs w:val="24"/>
        </w:rPr>
        <w:t xml:space="preserve"> recommend</w:t>
      </w:r>
      <w:r w:rsidR="00F032CD">
        <w:rPr>
          <w:rFonts w:ascii="Arial" w:hAnsi="Arial" w:cs="Arial"/>
          <w:color w:val="000000"/>
          <w:sz w:val="24"/>
          <w:szCs w:val="24"/>
        </w:rPr>
        <w:t>ed</w:t>
      </w:r>
      <w:r w:rsidRPr="00512E96">
        <w:rPr>
          <w:rFonts w:ascii="Arial" w:hAnsi="Arial" w:cs="Arial"/>
          <w:color w:val="000000"/>
          <w:sz w:val="24"/>
          <w:szCs w:val="24"/>
        </w:rPr>
        <w:t xml:space="preserve"> that the Working Group provide an additional cost benefit analysis that reflects a situation where operational equipment is being replaced. </w:t>
      </w:r>
      <w:r w:rsidR="003D0347">
        <w:rPr>
          <w:rFonts w:ascii="Arial" w:hAnsi="Arial" w:cs="Arial"/>
          <w:color w:val="000000"/>
          <w:sz w:val="24"/>
          <w:szCs w:val="24"/>
        </w:rPr>
        <w:t xml:space="preserve"> </w:t>
      </w:r>
      <w:r w:rsidRPr="00512E96">
        <w:rPr>
          <w:rFonts w:ascii="Arial" w:hAnsi="Arial" w:cs="Arial"/>
          <w:color w:val="000000"/>
          <w:sz w:val="24"/>
          <w:szCs w:val="24"/>
        </w:rPr>
        <w:t>(</w:t>
      </w:r>
      <w:r w:rsidR="002E2523">
        <w:rPr>
          <w:rFonts w:ascii="Arial" w:hAnsi="Arial" w:cs="Arial"/>
          <w:color w:val="000000"/>
          <w:sz w:val="24"/>
          <w:szCs w:val="24"/>
        </w:rPr>
        <w:t xml:space="preserve">Citizen Power </w:t>
      </w:r>
      <w:r w:rsidR="00B4007E">
        <w:rPr>
          <w:rFonts w:ascii="Arial" w:hAnsi="Arial" w:cs="Arial"/>
          <w:color w:val="000000"/>
          <w:sz w:val="24"/>
          <w:szCs w:val="24"/>
        </w:rPr>
        <w:t>Comments</w:t>
      </w:r>
      <w:r w:rsidRPr="00512E96">
        <w:rPr>
          <w:rFonts w:ascii="Arial" w:hAnsi="Arial" w:cs="Arial"/>
          <w:color w:val="000000"/>
          <w:sz w:val="24"/>
          <w:szCs w:val="24"/>
        </w:rPr>
        <w:t xml:space="preserve"> at 1</w:t>
      </w:r>
      <w:r w:rsidR="003D0347">
        <w:rPr>
          <w:rFonts w:ascii="Arial" w:hAnsi="Arial" w:cs="Arial"/>
          <w:color w:val="000000"/>
          <w:sz w:val="24"/>
          <w:szCs w:val="24"/>
        </w:rPr>
        <w:t>.</w:t>
      </w:r>
      <w:r w:rsidRPr="00512E96">
        <w:rPr>
          <w:rFonts w:ascii="Arial" w:hAnsi="Arial" w:cs="Arial"/>
          <w:color w:val="000000"/>
          <w:sz w:val="24"/>
          <w:szCs w:val="24"/>
        </w:rPr>
        <w:t>)</w:t>
      </w:r>
    </w:p>
    <w:p w:rsidR="00C94E03" w:rsidRDefault="00C94E03" w:rsidP="00512E96">
      <w:pPr>
        <w:spacing w:after="0" w:line="360" w:lineRule="auto"/>
        <w:rPr>
          <w:rFonts w:ascii="Arial" w:hAnsi="Arial" w:cs="Arial"/>
          <w:color w:val="000000"/>
          <w:sz w:val="24"/>
          <w:szCs w:val="24"/>
        </w:rPr>
      </w:pPr>
    </w:p>
    <w:p w:rsidR="00C94E03" w:rsidRDefault="00C94E03" w:rsidP="00512E96">
      <w:pPr>
        <w:spacing w:after="0" w:line="360" w:lineRule="auto"/>
        <w:rPr>
          <w:rFonts w:ascii="Arial" w:hAnsi="Arial" w:cs="Arial"/>
          <w:color w:val="000000"/>
          <w:sz w:val="24"/>
          <w:szCs w:val="24"/>
        </w:rPr>
      </w:pPr>
      <w:r>
        <w:rPr>
          <w:rFonts w:ascii="Arial" w:hAnsi="Arial" w:cs="Arial"/>
          <w:color w:val="000000"/>
          <w:sz w:val="24"/>
          <w:szCs w:val="24"/>
        </w:rPr>
        <w:tab/>
        <w:t xml:space="preserve">Columbia </w:t>
      </w:r>
      <w:r w:rsidR="002C33ED">
        <w:rPr>
          <w:rFonts w:ascii="Arial" w:hAnsi="Arial" w:cs="Arial"/>
          <w:color w:val="000000"/>
          <w:sz w:val="24"/>
          <w:szCs w:val="24"/>
        </w:rPr>
        <w:t xml:space="preserve">Gas </w:t>
      </w:r>
      <w:r>
        <w:rPr>
          <w:rFonts w:ascii="Arial" w:hAnsi="Arial" w:cs="Arial"/>
          <w:color w:val="000000"/>
          <w:sz w:val="24"/>
          <w:szCs w:val="24"/>
        </w:rPr>
        <w:t xml:space="preserve">states that in almost every </w:t>
      </w:r>
      <w:r w:rsidR="00DD7E58">
        <w:rPr>
          <w:rFonts w:ascii="Arial" w:hAnsi="Arial" w:cs="Arial"/>
          <w:color w:val="000000"/>
          <w:sz w:val="24"/>
          <w:szCs w:val="24"/>
        </w:rPr>
        <w:t xml:space="preserve">instance, the analyses demonstrated a positive cost-benefit ratio.  In addition, Columbia </w:t>
      </w:r>
      <w:r w:rsidR="002C33ED">
        <w:rPr>
          <w:rFonts w:ascii="Arial" w:hAnsi="Arial" w:cs="Arial"/>
          <w:color w:val="000000"/>
          <w:sz w:val="24"/>
          <w:szCs w:val="24"/>
        </w:rPr>
        <w:t xml:space="preserve">Gas </w:t>
      </w:r>
      <w:r w:rsidR="00DD7E58">
        <w:rPr>
          <w:rFonts w:ascii="Arial" w:hAnsi="Arial" w:cs="Arial"/>
          <w:color w:val="000000"/>
          <w:sz w:val="24"/>
          <w:szCs w:val="24"/>
        </w:rPr>
        <w:t xml:space="preserve">submits that the analyses demonstrated positive total energy savings.  Based on this, Columbia </w:t>
      </w:r>
      <w:r w:rsidR="002C33ED">
        <w:rPr>
          <w:rFonts w:ascii="Arial" w:hAnsi="Arial" w:cs="Arial"/>
          <w:color w:val="000000"/>
          <w:sz w:val="24"/>
          <w:szCs w:val="24"/>
        </w:rPr>
        <w:t xml:space="preserve">Gas </w:t>
      </w:r>
      <w:r w:rsidR="00DD7E58">
        <w:rPr>
          <w:rFonts w:ascii="Arial" w:hAnsi="Arial" w:cs="Arial"/>
          <w:color w:val="000000"/>
          <w:sz w:val="24"/>
          <w:szCs w:val="24"/>
        </w:rPr>
        <w:t xml:space="preserve">avers that natural gas fuel switching would be a viable component </w:t>
      </w:r>
      <w:r w:rsidR="002C33ED">
        <w:rPr>
          <w:rFonts w:ascii="Arial" w:hAnsi="Arial" w:cs="Arial"/>
          <w:color w:val="000000"/>
          <w:sz w:val="24"/>
          <w:szCs w:val="24"/>
        </w:rPr>
        <w:t xml:space="preserve">of </w:t>
      </w:r>
      <w:r w:rsidR="002718CE">
        <w:rPr>
          <w:rFonts w:ascii="Arial" w:hAnsi="Arial" w:cs="Arial"/>
          <w:color w:val="000000"/>
          <w:sz w:val="24"/>
          <w:szCs w:val="24"/>
        </w:rPr>
        <w:t>EE&amp;C</w:t>
      </w:r>
      <w:r w:rsidR="002C33ED">
        <w:rPr>
          <w:rFonts w:ascii="Arial" w:hAnsi="Arial" w:cs="Arial"/>
          <w:color w:val="000000"/>
          <w:sz w:val="24"/>
          <w:szCs w:val="24"/>
        </w:rPr>
        <w:t xml:space="preserve"> plans.  Columbia Gas expresse</w:t>
      </w:r>
      <w:r w:rsidR="002718CE">
        <w:rPr>
          <w:rFonts w:ascii="Arial" w:hAnsi="Arial" w:cs="Arial"/>
          <w:color w:val="000000"/>
          <w:sz w:val="24"/>
          <w:szCs w:val="24"/>
        </w:rPr>
        <w:t>s</w:t>
      </w:r>
      <w:r w:rsidR="002C33ED">
        <w:rPr>
          <w:rFonts w:ascii="Arial" w:hAnsi="Arial" w:cs="Arial"/>
          <w:color w:val="000000"/>
          <w:sz w:val="24"/>
          <w:szCs w:val="24"/>
        </w:rPr>
        <w:t xml:space="preserve"> the </w:t>
      </w:r>
      <w:r w:rsidR="00DD7E58">
        <w:rPr>
          <w:rFonts w:ascii="Arial" w:hAnsi="Arial" w:cs="Arial"/>
          <w:color w:val="000000"/>
          <w:sz w:val="24"/>
          <w:szCs w:val="24"/>
        </w:rPr>
        <w:t>belie</w:t>
      </w:r>
      <w:r w:rsidR="002C33ED">
        <w:rPr>
          <w:rFonts w:ascii="Arial" w:hAnsi="Arial" w:cs="Arial"/>
          <w:color w:val="000000"/>
          <w:sz w:val="24"/>
          <w:szCs w:val="24"/>
        </w:rPr>
        <w:t>f</w:t>
      </w:r>
      <w:r w:rsidR="00DD7E58">
        <w:rPr>
          <w:rFonts w:ascii="Arial" w:hAnsi="Arial" w:cs="Arial"/>
          <w:color w:val="000000"/>
          <w:sz w:val="24"/>
          <w:szCs w:val="24"/>
        </w:rPr>
        <w:t xml:space="preserve"> that while various aspects or assumptions in the analyses may be subject to debate, the analyses serves as a good starting point for further consideration about how natural gas fuel switching can assist EDCs in attaining their Act 129 usage and demand reduction targets. </w:t>
      </w:r>
      <w:r w:rsidR="004A4E1A">
        <w:rPr>
          <w:rFonts w:ascii="Arial" w:hAnsi="Arial" w:cs="Arial"/>
          <w:color w:val="000000"/>
          <w:sz w:val="24"/>
          <w:szCs w:val="24"/>
        </w:rPr>
        <w:t xml:space="preserve"> </w:t>
      </w:r>
      <w:r w:rsidR="00DD7E58">
        <w:rPr>
          <w:rFonts w:ascii="Arial" w:hAnsi="Arial" w:cs="Arial"/>
          <w:color w:val="000000"/>
          <w:sz w:val="24"/>
          <w:szCs w:val="24"/>
        </w:rPr>
        <w:t xml:space="preserve">(Columbia </w:t>
      </w:r>
      <w:r w:rsidR="002C33ED">
        <w:rPr>
          <w:rFonts w:ascii="Arial" w:hAnsi="Arial" w:cs="Arial"/>
          <w:color w:val="000000"/>
          <w:sz w:val="24"/>
          <w:szCs w:val="24"/>
        </w:rPr>
        <w:t xml:space="preserve">Gas </w:t>
      </w:r>
      <w:r w:rsidR="00DD7E58">
        <w:rPr>
          <w:rFonts w:ascii="Arial" w:hAnsi="Arial" w:cs="Arial"/>
          <w:color w:val="000000"/>
          <w:sz w:val="24"/>
          <w:szCs w:val="24"/>
        </w:rPr>
        <w:t>Comments at 2</w:t>
      </w:r>
      <w:r w:rsidR="004A4E1A">
        <w:rPr>
          <w:rFonts w:ascii="Arial" w:hAnsi="Arial" w:cs="Arial"/>
          <w:color w:val="000000"/>
          <w:sz w:val="24"/>
          <w:szCs w:val="24"/>
        </w:rPr>
        <w:t>.</w:t>
      </w:r>
      <w:r w:rsidR="00DD7E58">
        <w:rPr>
          <w:rFonts w:ascii="Arial" w:hAnsi="Arial" w:cs="Arial"/>
          <w:color w:val="000000"/>
          <w:sz w:val="24"/>
          <w:szCs w:val="24"/>
        </w:rPr>
        <w:t>)</w:t>
      </w:r>
    </w:p>
    <w:p w:rsidR="00836B82" w:rsidRDefault="00836B82" w:rsidP="00512E96">
      <w:pPr>
        <w:spacing w:after="0" w:line="360" w:lineRule="auto"/>
        <w:rPr>
          <w:rFonts w:ascii="Arial" w:hAnsi="Arial" w:cs="Arial"/>
          <w:color w:val="000000"/>
          <w:sz w:val="24"/>
          <w:szCs w:val="24"/>
        </w:rPr>
      </w:pPr>
    </w:p>
    <w:p w:rsidR="00831237" w:rsidRDefault="00831237" w:rsidP="00512E96">
      <w:pPr>
        <w:spacing w:after="0" w:line="360" w:lineRule="auto"/>
        <w:rPr>
          <w:rFonts w:ascii="Arial" w:hAnsi="Arial" w:cs="Arial"/>
          <w:color w:val="000000"/>
          <w:sz w:val="24"/>
          <w:szCs w:val="24"/>
        </w:rPr>
      </w:pPr>
      <w:r>
        <w:rPr>
          <w:rFonts w:ascii="Arial" w:hAnsi="Arial" w:cs="Arial"/>
          <w:color w:val="000000"/>
          <w:sz w:val="24"/>
          <w:szCs w:val="24"/>
        </w:rPr>
        <w:tab/>
        <w:t xml:space="preserve">UGI believes it would be appropriate to modify the TRM to specifically include certain fuel conversion programs.  UGI does not believe any specific revisions are necessary if fuel conversion programs are to be evaluated on a custom, versus a deemed savings basis.  </w:t>
      </w:r>
      <w:r w:rsidR="003565BF">
        <w:rPr>
          <w:rFonts w:ascii="Arial" w:hAnsi="Arial" w:cs="Arial"/>
          <w:color w:val="000000"/>
          <w:sz w:val="24"/>
          <w:szCs w:val="24"/>
        </w:rPr>
        <w:t>UGI asserts that t</w:t>
      </w:r>
      <w:r>
        <w:rPr>
          <w:rFonts w:ascii="Arial" w:hAnsi="Arial" w:cs="Arial"/>
          <w:color w:val="000000"/>
          <w:sz w:val="24"/>
          <w:szCs w:val="24"/>
        </w:rPr>
        <w:t>his is a topic that can be discussed by the working group and addressed in comments submitted in response to the Commission’s Tentative Order at Docket No. M</w:t>
      </w:r>
      <w:r>
        <w:rPr>
          <w:rFonts w:ascii="Arial" w:hAnsi="Arial" w:cs="Arial"/>
          <w:color w:val="000000"/>
          <w:sz w:val="24"/>
          <w:szCs w:val="24"/>
        </w:rPr>
        <w:noBreakHyphen/>
        <w:t xml:space="preserve">00051865, and published in the February 20, 2010 </w:t>
      </w:r>
      <w:r>
        <w:rPr>
          <w:rFonts w:ascii="Arial" w:hAnsi="Arial" w:cs="Arial"/>
          <w:color w:val="000000"/>
          <w:sz w:val="24"/>
          <w:szCs w:val="24"/>
        </w:rPr>
        <w:lastRenderedPageBreak/>
        <w:t>edition of the Pennsylvania Bulletin.  UGI also believes that the TRC test adopted by the Commission in the TRC Order already addresses fuel switching since it was based on the California Manual, and California has historically encouraged cost</w:t>
      </w:r>
      <w:r>
        <w:rPr>
          <w:rFonts w:ascii="Arial" w:hAnsi="Arial" w:cs="Arial"/>
          <w:color w:val="000000"/>
          <w:sz w:val="24"/>
          <w:szCs w:val="24"/>
        </w:rPr>
        <w:noBreakHyphen/>
        <w:t>effective fuel substitution.  (UGI Reply Comments at 10.)</w:t>
      </w:r>
    </w:p>
    <w:p w:rsidR="001A04DD" w:rsidRDefault="001A04DD" w:rsidP="00506874">
      <w:pPr>
        <w:spacing w:after="0" w:line="360" w:lineRule="auto"/>
        <w:rPr>
          <w:rFonts w:ascii="Arial" w:hAnsi="Arial" w:cs="Arial"/>
          <w:color w:val="000000"/>
          <w:sz w:val="24"/>
          <w:szCs w:val="24"/>
        </w:rPr>
      </w:pPr>
    </w:p>
    <w:p w:rsidR="001A04DD" w:rsidRPr="00282F3D" w:rsidRDefault="001A04DD" w:rsidP="00506874">
      <w:pPr>
        <w:spacing w:after="0" w:line="360" w:lineRule="auto"/>
        <w:ind w:left="20" w:firstLine="288"/>
        <w:rPr>
          <w:rFonts w:ascii="Arial" w:hAnsi="Arial" w:cs="Arial"/>
          <w:sz w:val="24"/>
          <w:szCs w:val="24"/>
          <w:u w:val="single"/>
        </w:rPr>
      </w:pPr>
      <w:r w:rsidRPr="00282F3D">
        <w:rPr>
          <w:rFonts w:ascii="Arial" w:hAnsi="Arial" w:cs="Arial"/>
          <w:sz w:val="24"/>
          <w:szCs w:val="24"/>
          <w:u w:val="single"/>
        </w:rPr>
        <w:t>Staff Recommendation</w:t>
      </w:r>
    </w:p>
    <w:p w:rsidR="001A04DD" w:rsidRDefault="001A04DD" w:rsidP="00506874">
      <w:pPr>
        <w:spacing w:after="0" w:line="360" w:lineRule="auto"/>
        <w:rPr>
          <w:rFonts w:ascii="Arial" w:hAnsi="Arial" w:cs="Arial"/>
          <w:sz w:val="24"/>
          <w:szCs w:val="24"/>
        </w:rPr>
      </w:pPr>
    </w:p>
    <w:p w:rsidR="00506874" w:rsidRPr="00C21904" w:rsidRDefault="00186318" w:rsidP="00186318">
      <w:pPr>
        <w:spacing w:after="0" w:line="360" w:lineRule="auto"/>
        <w:ind w:firstLine="720"/>
        <w:rPr>
          <w:rFonts w:ascii="Arial" w:hAnsi="Arial" w:cs="Arial"/>
          <w:sz w:val="24"/>
          <w:szCs w:val="24"/>
        </w:rPr>
      </w:pPr>
      <w:r w:rsidRPr="00C21904">
        <w:rPr>
          <w:rFonts w:ascii="Arial" w:hAnsi="Arial" w:cs="Arial"/>
          <w:sz w:val="24"/>
          <w:szCs w:val="24"/>
        </w:rPr>
        <w:t>Staff</w:t>
      </w:r>
      <w:r w:rsidR="00045857" w:rsidRPr="00C21904">
        <w:rPr>
          <w:rFonts w:ascii="Arial" w:hAnsi="Arial" w:cs="Arial"/>
          <w:sz w:val="24"/>
          <w:szCs w:val="24"/>
        </w:rPr>
        <w:t xml:space="preserve"> finds that issues concerning the TRC and TRM for fuel switching should be remitted to the </w:t>
      </w:r>
      <w:r w:rsidR="002718CE" w:rsidRPr="00C21904">
        <w:rPr>
          <w:rFonts w:ascii="Arial" w:hAnsi="Arial" w:cs="Arial"/>
          <w:sz w:val="24"/>
          <w:szCs w:val="24"/>
        </w:rPr>
        <w:t xml:space="preserve">respective </w:t>
      </w:r>
      <w:r w:rsidR="00045857" w:rsidRPr="00C21904">
        <w:rPr>
          <w:rFonts w:ascii="Arial" w:hAnsi="Arial" w:cs="Arial"/>
          <w:sz w:val="24"/>
          <w:szCs w:val="24"/>
        </w:rPr>
        <w:t>process</w:t>
      </w:r>
      <w:r w:rsidR="008506C4" w:rsidRPr="00C21904">
        <w:rPr>
          <w:rFonts w:ascii="Arial" w:hAnsi="Arial" w:cs="Arial"/>
          <w:sz w:val="24"/>
          <w:szCs w:val="24"/>
        </w:rPr>
        <w:t>es for updating or revising the TRC and TRM</w:t>
      </w:r>
      <w:r w:rsidR="00045857" w:rsidRPr="00C21904">
        <w:rPr>
          <w:rFonts w:ascii="Arial" w:hAnsi="Arial" w:cs="Arial"/>
          <w:sz w:val="24"/>
          <w:szCs w:val="24"/>
        </w:rPr>
        <w:t xml:space="preserve">.  </w:t>
      </w:r>
      <w:r w:rsidR="0063152B" w:rsidRPr="00C21904">
        <w:rPr>
          <w:rFonts w:ascii="Arial" w:hAnsi="Arial" w:cs="Arial"/>
          <w:sz w:val="24"/>
          <w:szCs w:val="24"/>
        </w:rPr>
        <w:t>Staff agrees with Allegheny that the TRC analyses provided to</w:t>
      </w:r>
      <w:r w:rsidR="00DA7B71" w:rsidRPr="00C21904">
        <w:rPr>
          <w:rFonts w:ascii="Arial" w:hAnsi="Arial" w:cs="Arial"/>
          <w:sz w:val="24"/>
          <w:szCs w:val="24"/>
        </w:rPr>
        <w:t xml:space="preserve"> the </w:t>
      </w:r>
      <w:r w:rsidR="008506C4" w:rsidRPr="00C21904">
        <w:rPr>
          <w:rFonts w:ascii="Arial" w:hAnsi="Arial" w:cs="Arial"/>
          <w:sz w:val="24"/>
          <w:szCs w:val="24"/>
        </w:rPr>
        <w:t>W</w:t>
      </w:r>
      <w:r w:rsidR="00DA7B71" w:rsidRPr="00C21904">
        <w:rPr>
          <w:rFonts w:ascii="Arial" w:hAnsi="Arial" w:cs="Arial"/>
          <w:sz w:val="24"/>
          <w:szCs w:val="24"/>
        </w:rPr>
        <w:t xml:space="preserve">orking </w:t>
      </w:r>
      <w:r w:rsidR="008506C4" w:rsidRPr="00C21904">
        <w:rPr>
          <w:rFonts w:ascii="Arial" w:hAnsi="Arial" w:cs="Arial"/>
          <w:sz w:val="24"/>
          <w:szCs w:val="24"/>
        </w:rPr>
        <w:t>G</w:t>
      </w:r>
      <w:r w:rsidR="00DA7B71" w:rsidRPr="00C21904">
        <w:rPr>
          <w:rFonts w:ascii="Arial" w:hAnsi="Arial" w:cs="Arial"/>
          <w:sz w:val="24"/>
          <w:szCs w:val="24"/>
        </w:rPr>
        <w:t xml:space="preserve">roup </w:t>
      </w:r>
      <w:r w:rsidR="00641DD9" w:rsidRPr="00C21904">
        <w:rPr>
          <w:rFonts w:ascii="Arial" w:hAnsi="Arial" w:cs="Arial"/>
          <w:sz w:val="24"/>
          <w:szCs w:val="24"/>
        </w:rPr>
        <w:t xml:space="preserve">are not </w:t>
      </w:r>
      <w:r w:rsidR="00F11654" w:rsidRPr="00C21904">
        <w:rPr>
          <w:rFonts w:ascii="Arial" w:hAnsi="Arial" w:cs="Arial"/>
          <w:sz w:val="24"/>
          <w:szCs w:val="24"/>
        </w:rPr>
        <w:t>complete;</w:t>
      </w:r>
      <w:r w:rsidR="00641DD9" w:rsidRPr="00C21904">
        <w:rPr>
          <w:rFonts w:ascii="Arial" w:hAnsi="Arial" w:cs="Arial"/>
          <w:sz w:val="24"/>
          <w:szCs w:val="24"/>
        </w:rPr>
        <w:t xml:space="preserve"> however, staff believes they </w:t>
      </w:r>
      <w:r w:rsidR="00DA7B71" w:rsidRPr="00C21904">
        <w:rPr>
          <w:rFonts w:ascii="Arial" w:hAnsi="Arial" w:cs="Arial"/>
          <w:sz w:val="24"/>
          <w:szCs w:val="24"/>
        </w:rPr>
        <w:t>may serve as a starting point for further discussion.  Programs that appear cost</w:t>
      </w:r>
      <w:r w:rsidR="008506C4" w:rsidRPr="00C21904">
        <w:rPr>
          <w:rFonts w:ascii="Arial" w:hAnsi="Arial" w:cs="Arial"/>
          <w:sz w:val="24"/>
          <w:szCs w:val="24"/>
        </w:rPr>
        <w:noBreakHyphen/>
      </w:r>
      <w:r w:rsidR="00DA7B71" w:rsidRPr="00C21904">
        <w:rPr>
          <w:rFonts w:ascii="Arial" w:hAnsi="Arial" w:cs="Arial"/>
          <w:sz w:val="24"/>
          <w:szCs w:val="24"/>
        </w:rPr>
        <w:t xml:space="preserve">effective in these analyses may be worthy of consideration by EDCs.  However, staff also agrees with Allegheny that </w:t>
      </w:r>
      <w:r w:rsidR="00641DD9" w:rsidRPr="00C21904">
        <w:rPr>
          <w:rFonts w:ascii="Arial" w:hAnsi="Arial" w:cs="Arial"/>
          <w:sz w:val="24"/>
          <w:szCs w:val="24"/>
        </w:rPr>
        <w:t xml:space="preserve">any proposed fuel switching programs must be thoroughly reviewed and also believes that these programs must be discussed and refined via the stakeholder process to fully assess and balance all impacts to the EE&amp;C plans and EDC customers.  </w:t>
      </w:r>
      <w:r w:rsidR="008506C4" w:rsidRPr="00C21904">
        <w:rPr>
          <w:rFonts w:ascii="Arial" w:hAnsi="Arial" w:cs="Arial"/>
          <w:sz w:val="24"/>
          <w:szCs w:val="24"/>
        </w:rPr>
        <w:t xml:space="preserve">Therefore, Staff recommends that any </w:t>
      </w:r>
      <w:r w:rsidR="00D07C78" w:rsidRPr="00C21904">
        <w:rPr>
          <w:rFonts w:ascii="Arial" w:hAnsi="Arial" w:cs="Arial"/>
          <w:sz w:val="24"/>
          <w:szCs w:val="24"/>
        </w:rPr>
        <w:t xml:space="preserve">revisions to the TRC test to include fuel switching related specifics should be presented and reviewed under the TRC test revision process set forth in the </w:t>
      </w:r>
      <w:r w:rsidR="00D07C78" w:rsidRPr="00C21904">
        <w:rPr>
          <w:rFonts w:ascii="Arial" w:hAnsi="Arial" w:cs="Arial"/>
          <w:i/>
          <w:sz w:val="24"/>
          <w:szCs w:val="24"/>
        </w:rPr>
        <w:t>TRC Test Order</w:t>
      </w:r>
      <w:r w:rsidR="00D07C78" w:rsidRPr="00C21904">
        <w:rPr>
          <w:rFonts w:ascii="Arial" w:hAnsi="Arial" w:cs="Arial"/>
          <w:sz w:val="24"/>
          <w:szCs w:val="24"/>
        </w:rPr>
        <w:t xml:space="preserve">.  In addition, Staff recommends that any proposed deemed savings associated with specific fuel switching measures </w:t>
      </w:r>
      <w:r w:rsidR="000B4BAD" w:rsidRPr="00C21904">
        <w:rPr>
          <w:rFonts w:ascii="Arial" w:hAnsi="Arial" w:cs="Arial"/>
          <w:sz w:val="24"/>
          <w:szCs w:val="24"/>
        </w:rPr>
        <w:t>should be presented and reviewed under the TRM update process.</w:t>
      </w:r>
    </w:p>
    <w:p w:rsidR="00506874" w:rsidRDefault="00506874" w:rsidP="001848DE">
      <w:pPr>
        <w:spacing w:after="0" w:line="360" w:lineRule="auto"/>
        <w:rPr>
          <w:rFonts w:ascii="Arial" w:hAnsi="Arial" w:cs="Arial"/>
          <w:sz w:val="24"/>
          <w:szCs w:val="24"/>
        </w:rPr>
      </w:pPr>
    </w:p>
    <w:p w:rsidR="000B4BAD" w:rsidRPr="00512E96" w:rsidRDefault="000B4BAD" w:rsidP="001848DE">
      <w:pPr>
        <w:spacing w:after="0" w:line="360" w:lineRule="auto"/>
        <w:rPr>
          <w:rFonts w:ascii="Arial" w:hAnsi="Arial" w:cs="Arial"/>
          <w:sz w:val="24"/>
          <w:szCs w:val="24"/>
        </w:rPr>
      </w:pPr>
    </w:p>
    <w:p w:rsidR="002D5B52" w:rsidRDefault="002D5B52">
      <w:pPr>
        <w:spacing w:after="0" w:line="240" w:lineRule="auto"/>
        <w:rPr>
          <w:rFonts w:ascii="Arial" w:hAnsi="Arial" w:cs="Arial"/>
          <w:sz w:val="24"/>
          <w:szCs w:val="24"/>
          <w:u w:val="single"/>
        </w:rPr>
      </w:pPr>
      <w:r>
        <w:rPr>
          <w:rFonts w:ascii="Arial" w:hAnsi="Arial" w:cs="Arial"/>
          <w:sz w:val="24"/>
          <w:szCs w:val="24"/>
          <w:u w:val="single"/>
        </w:rPr>
        <w:br w:type="page"/>
      </w:r>
    </w:p>
    <w:p w:rsidR="000B6997" w:rsidRPr="00282F3D" w:rsidRDefault="000B6997" w:rsidP="00DF01C0">
      <w:pPr>
        <w:pStyle w:val="ListParagraph"/>
        <w:numPr>
          <w:ilvl w:val="0"/>
          <w:numId w:val="6"/>
        </w:numPr>
        <w:spacing w:after="0" w:line="360" w:lineRule="auto"/>
        <w:outlineLvl w:val="1"/>
        <w:rPr>
          <w:rFonts w:ascii="Arial" w:hAnsi="Arial" w:cs="Arial"/>
          <w:sz w:val="24"/>
          <w:szCs w:val="24"/>
          <w:u w:val="single"/>
        </w:rPr>
      </w:pPr>
      <w:bookmarkStart w:id="16" w:name="_Toc260316379"/>
      <w:r w:rsidRPr="00282F3D">
        <w:rPr>
          <w:rFonts w:ascii="Arial" w:hAnsi="Arial" w:cs="Arial"/>
          <w:sz w:val="24"/>
          <w:szCs w:val="24"/>
          <w:u w:val="single"/>
        </w:rPr>
        <w:lastRenderedPageBreak/>
        <w:t>Should the Commission establish an EE&amp;C program for Gas Distribution Companies before allowing fuel switching programs?</w:t>
      </w:r>
      <w:bookmarkEnd w:id="16"/>
    </w:p>
    <w:p w:rsidR="00512E96" w:rsidRDefault="00512E96" w:rsidP="001848DE">
      <w:pPr>
        <w:pStyle w:val="ListParagraph"/>
        <w:spacing w:after="0" w:line="360" w:lineRule="auto"/>
        <w:ind w:left="0"/>
        <w:rPr>
          <w:rFonts w:ascii="Arial" w:hAnsi="Arial" w:cs="Arial"/>
          <w:sz w:val="24"/>
          <w:szCs w:val="24"/>
        </w:rPr>
      </w:pPr>
    </w:p>
    <w:p w:rsidR="000B6997" w:rsidRPr="00282F3D" w:rsidRDefault="000B6997" w:rsidP="00DF01C0">
      <w:pPr>
        <w:pStyle w:val="ListParagraph"/>
        <w:numPr>
          <w:ilvl w:val="0"/>
          <w:numId w:val="4"/>
        </w:numPr>
        <w:spacing w:after="0" w:line="360" w:lineRule="auto"/>
        <w:ind w:hanging="720"/>
        <w:outlineLvl w:val="2"/>
        <w:rPr>
          <w:rFonts w:ascii="Arial" w:hAnsi="Arial" w:cs="Arial"/>
          <w:sz w:val="24"/>
          <w:szCs w:val="24"/>
          <w:u w:val="single"/>
        </w:rPr>
      </w:pPr>
      <w:bookmarkStart w:id="17" w:name="_Toc260316380"/>
      <w:r w:rsidRPr="00282F3D">
        <w:rPr>
          <w:rFonts w:ascii="Arial" w:hAnsi="Arial" w:cs="Arial"/>
          <w:sz w:val="24"/>
          <w:szCs w:val="24"/>
          <w:u w:val="single"/>
        </w:rPr>
        <w:t>Can the Commission establish such a program?</w:t>
      </w:r>
      <w:bookmarkEnd w:id="17"/>
    </w:p>
    <w:p w:rsidR="006351A3" w:rsidRDefault="006351A3" w:rsidP="001848DE">
      <w:pPr>
        <w:pStyle w:val="ListParagraph"/>
        <w:spacing w:after="0" w:line="360" w:lineRule="auto"/>
        <w:rPr>
          <w:rFonts w:ascii="Arial" w:hAnsi="Arial" w:cs="Arial"/>
          <w:sz w:val="24"/>
          <w:szCs w:val="24"/>
        </w:rPr>
      </w:pPr>
    </w:p>
    <w:p w:rsidR="000B6997" w:rsidRPr="00282F3D" w:rsidRDefault="000B6997" w:rsidP="00DF01C0">
      <w:pPr>
        <w:pStyle w:val="ListParagraph"/>
        <w:numPr>
          <w:ilvl w:val="0"/>
          <w:numId w:val="4"/>
        </w:numPr>
        <w:spacing w:after="0" w:line="360" w:lineRule="auto"/>
        <w:ind w:hanging="720"/>
        <w:outlineLvl w:val="2"/>
        <w:rPr>
          <w:rFonts w:ascii="Arial" w:hAnsi="Arial" w:cs="Arial"/>
          <w:sz w:val="24"/>
          <w:szCs w:val="24"/>
          <w:u w:val="single"/>
        </w:rPr>
      </w:pPr>
      <w:bookmarkStart w:id="18" w:name="_Toc260316381"/>
      <w:r w:rsidRPr="00282F3D">
        <w:rPr>
          <w:rFonts w:ascii="Arial" w:hAnsi="Arial" w:cs="Arial"/>
          <w:sz w:val="24"/>
          <w:szCs w:val="24"/>
          <w:u w:val="single"/>
        </w:rPr>
        <w:t>What elements should be included in any such program?</w:t>
      </w:r>
      <w:bookmarkEnd w:id="18"/>
    </w:p>
    <w:p w:rsidR="006351A3" w:rsidRDefault="006351A3" w:rsidP="001848DE">
      <w:pPr>
        <w:pStyle w:val="ListParagraph"/>
        <w:spacing w:after="0" w:line="360" w:lineRule="auto"/>
        <w:rPr>
          <w:rFonts w:ascii="Arial" w:hAnsi="Arial" w:cs="Arial"/>
          <w:sz w:val="24"/>
          <w:szCs w:val="24"/>
        </w:rPr>
      </w:pPr>
    </w:p>
    <w:p w:rsidR="00E25820" w:rsidRDefault="00E25820" w:rsidP="001848DE">
      <w:pPr>
        <w:spacing w:after="0" w:line="360" w:lineRule="auto"/>
        <w:ind w:left="14" w:firstLine="706"/>
        <w:rPr>
          <w:rFonts w:ascii="Arial" w:hAnsi="Arial" w:cs="Arial"/>
          <w:sz w:val="24"/>
          <w:szCs w:val="24"/>
        </w:rPr>
      </w:pPr>
      <w:bookmarkStart w:id="19" w:name="_Toc253144711"/>
      <w:bookmarkEnd w:id="6"/>
      <w:r w:rsidRPr="00512E96">
        <w:rPr>
          <w:rFonts w:ascii="Arial" w:hAnsi="Arial" w:cs="Arial"/>
          <w:sz w:val="24"/>
          <w:szCs w:val="24"/>
        </w:rPr>
        <w:t xml:space="preserve">As a matter of policy, PPL believes that Pennsylvania natural gas distribution companies </w:t>
      </w:r>
      <w:r w:rsidR="002718CE">
        <w:rPr>
          <w:rFonts w:ascii="Arial" w:hAnsi="Arial" w:cs="Arial"/>
          <w:sz w:val="24"/>
          <w:szCs w:val="24"/>
        </w:rPr>
        <w:t xml:space="preserve">(NGDCs) </w:t>
      </w:r>
      <w:r w:rsidRPr="00512E96">
        <w:rPr>
          <w:rFonts w:ascii="Arial" w:hAnsi="Arial" w:cs="Arial"/>
          <w:sz w:val="24"/>
          <w:szCs w:val="24"/>
        </w:rPr>
        <w:t xml:space="preserve">should have mandatory reduction targets, similar to Act </w:t>
      </w:r>
      <w:r w:rsidR="00F032CD" w:rsidRPr="00512E96">
        <w:rPr>
          <w:rFonts w:ascii="Arial" w:hAnsi="Arial" w:cs="Arial"/>
          <w:sz w:val="24"/>
          <w:szCs w:val="24"/>
        </w:rPr>
        <w:t>129</w:t>
      </w:r>
      <w:r w:rsidRPr="00512E96">
        <w:rPr>
          <w:rFonts w:ascii="Arial" w:hAnsi="Arial" w:cs="Arial"/>
          <w:sz w:val="24"/>
          <w:szCs w:val="24"/>
        </w:rPr>
        <w:t xml:space="preserve"> to help gas customers reduce consumption. </w:t>
      </w:r>
      <w:r w:rsidR="000B4BAD">
        <w:rPr>
          <w:rFonts w:ascii="Arial" w:hAnsi="Arial" w:cs="Arial"/>
          <w:sz w:val="24"/>
          <w:szCs w:val="24"/>
        </w:rPr>
        <w:t xml:space="preserve"> </w:t>
      </w:r>
      <w:r w:rsidRPr="00512E96">
        <w:rPr>
          <w:rFonts w:ascii="Arial" w:hAnsi="Arial" w:cs="Arial"/>
          <w:sz w:val="24"/>
          <w:szCs w:val="24"/>
        </w:rPr>
        <w:t xml:space="preserve">Otherwise, </w:t>
      </w:r>
      <w:r w:rsidR="00450296">
        <w:rPr>
          <w:rFonts w:ascii="Arial" w:hAnsi="Arial" w:cs="Arial"/>
          <w:sz w:val="24"/>
          <w:szCs w:val="24"/>
        </w:rPr>
        <w:t>PPL</w:t>
      </w:r>
      <w:r w:rsidRPr="00512E96">
        <w:rPr>
          <w:rFonts w:ascii="Arial" w:hAnsi="Arial" w:cs="Arial"/>
          <w:sz w:val="24"/>
          <w:szCs w:val="24"/>
        </w:rPr>
        <w:t xml:space="preserve"> is concerned that fuel switching merely “pushes the problem from electricity to gas</w:t>
      </w:r>
      <w:r w:rsidR="00450296">
        <w:rPr>
          <w:rFonts w:ascii="Arial" w:hAnsi="Arial" w:cs="Arial"/>
          <w:sz w:val="24"/>
          <w:szCs w:val="24"/>
        </w:rPr>
        <w:t>.</w:t>
      </w:r>
      <w:r w:rsidRPr="00512E96">
        <w:rPr>
          <w:rFonts w:ascii="Arial" w:hAnsi="Arial" w:cs="Arial"/>
          <w:sz w:val="24"/>
          <w:szCs w:val="24"/>
        </w:rPr>
        <w:t xml:space="preserve">" </w:t>
      </w:r>
      <w:r w:rsidR="000B4BAD">
        <w:rPr>
          <w:rFonts w:ascii="Arial" w:hAnsi="Arial" w:cs="Arial"/>
          <w:sz w:val="24"/>
          <w:szCs w:val="24"/>
        </w:rPr>
        <w:t xml:space="preserve"> </w:t>
      </w:r>
      <w:r w:rsidRPr="00512E96">
        <w:rPr>
          <w:rFonts w:ascii="Arial" w:hAnsi="Arial" w:cs="Arial"/>
          <w:sz w:val="24"/>
          <w:szCs w:val="24"/>
        </w:rPr>
        <w:t>(</w:t>
      </w:r>
      <w:r w:rsidR="002E2523">
        <w:rPr>
          <w:rFonts w:ascii="Arial" w:hAnsi="Arial" w:cs="Arial"/>
          <w:sz w:val="24"/>
          <w:szCs w:val="24"/>
        </w:rPr>
        <w:t xml:space="preserve">PPL </w:t>
      </w:r>
      <w:r>
        <w:rPr>
          <w:rFonts w:ascii="Arial" w:hAnsi="Arial" w:cs="Arial"/>
          <w:sz w:val="24"/>
          <w:szCs w:val="24"/>
        </w:rPr>
        <w:t>Reply Comments</w:t>
      </w:r>
      <w:r w:rsidRPr="00512E96">
        <w:rPr>
          <w:rFonts w:ascii="Arial" w:hAnsi="Arial" w:cs="Arial"/>
          <w:sz w:val="24"/>
          <w:szCs w:val="24"/>
        </w:rPr>
        <w:t xml:space="preserve"> at 2</w:t>
      </w:r>
      <w:r w:rsidR="000B4BAD">
        <w:rPr>
          <w:rFonts w:ascii="Arial" w:hAnsi="Arial" w:cs="Arial"/>
          <w:sz w:val="24"/>
          <w:szCs w:val="24"/>
        </w:rPr>
        <w:t>.</w:t>
      </w:r>
      <w:r w:rsidRPr="00512E96">
        <w:rPr>
          <w:rFonts w:ascii="Arial" w:hAnsi="Arial" w:cs="Arial"/>
          <w:sz w:val="24"/>
          <w:szCs w:val="24"/>
        </w:rPr>
        <w:t>)</w:t>
      </w:r>
    </w:p>
    <w:p w:rsidR="00450296" w:rsidRPr="00512E96" w:rsidRDefault="00450296" w:rsidP="001848DE">
      <w:pPr>
        <w:spacing w:after="0" w:line="360" w:lineRule="auto"/>
        <w:ind w:left="14" w:firstLine="706"/>
        <w:rPr>
          <w:rFonts w:ascii="Arial" w:hAnsi="Arial" w:cs="Arial"/>
          <w:sz w:val="24"/>
          <w:szCs w:val="24"/>
        </w:rPr>
      </w:pPr>
    </w:p>
    <w:p w:rsidR="00E25820" w:rsidRDefault="00BB1B0E" w:rsidP="001848DE">
      <w:pPr>
        <w:spacing w:after="0" w:line="360" w:lineRule="auto"/>
        <w:ind w:firstLine="720"/>
        <w:rPr>
          <w:rFonts w:ascii="Arial" w:hAnsi="Arial" w:cs="Arial"/>
          <w:sz w:val="24"/>
          <w:szCs w:val="24"/>
        </w:rPr>
      </w:pPr>
      <w:r>
        <w:rPr>
          <w:rFonts w:ascii="Arial" w:hAnsi="Arial" w:cs="Arial"/>
          <w:sz w:val="24"/>
          <w:szCs w:val="24"/>
        </w:rPr>
        <w:t xml:space="preserve">In KEEA’s </w:t>
      </w:r>
      <w:r w:rsidR="00E25820" w:rsidRPr="00512E96">
        <w:rPr>
          <w:rFonts w:ascii="Arial" w:hAnsi="Arial" w:cs="Arial"/>
          <w:sz w:val="24"/>
          <w:szCs w:val="24"/>
        </w:rPr>
        <w:t>opinion</w:t>
      </w:r>
      <w:r>
        <w:rPr>
          <w:rFonts w:ascii="Arial" w:hAnsi="Arial" w:cs="Arial"/>
          <w:sz w:val="24"/>
          <w:szCs w:val="24"/>
        </w:rPr>
        <w:t xml:space="preserve">, </w:t>
      </w:r>
      <w:r w:rsidR="00E25820" w:rsidRPr="00512E96">
        <w:rPr>
          <w:rFonts w:ascii="Arial" w:hAnsi="Arial" w:cs="Arial"/>
          <w:sz w:val="24"/>
          <w:szCs w:val="24"/>
        </w:rPr>
        <w:t>the Commission should look beyond the current issue and set a broader gas conservation agenda before determining whether program</w:t>
      </w:r>
      <w:r w:rsidR="002718CE">
        <w:rPr>
          <w:rFonts w:ascii="Arial" w:hAnsi="Arial" w:cs="Arial"/>
          <w:sz w:val="24"/>
          <w:szCs w:val="24"/>
        </w:rPr>
        <w:noBreakHyphen/>
      </w:r>
      <w:r w:rsidR="00E25820" w:rsidRPr="00512E96">
        <w:rPr>
          <w:rFonts w:ascii="Arial" w:hAnsi="Arial" w:cs="Arial"/>
          <w:sz w:val="24"/>
          <w:szCs w:val="24"/>
        </w:rPr>
        <w:t xml:space="preserve">wide fuel switching is warranted under Act 129.  Without first mandating gas conservation programs, simply allowing broad-based programmatic fuel switching does not provide for a level playing field between electricity and gas resources or necessarily yield the best results for all consumers. </w:t>
      </w:r>
      <w:r w:rsidR="00450296">
        <w:rPr>
          <w:rFonts w:ascii="Arial" w:hAnsi="Arial" w:cs="Arial"/>
          <w:sz w:val="24"/>
          <w:szCs w:val="24"/>
        </w:rPr>
        <w:t xml:space="preserve"> </w:t>
      </w:r>
      <w:r w:rsidR="00B0342F">
        <w:rPr>
          <w:rFonts w:ascii="Arial" w:hAnsi="Arial" w:cs="Arial"/>
          <w:sz w:val="24"/>
          <w:szCs w:val="24"/>
        </w:rPr>
        <w:t>KEEA also suggests</w:t>
      </w:r>
      <w:r w:rsidR="00E25820" w:rsidRPr="00512E96">
        <w:rPr>
          <w:rFonts w:ascii="Arial" w:hAnsi="Arial" w:cs="Arial"/>
          <w:sz w:val="24"/>
          <w:szCs w:val="24"/>
        </w:rPr>
        <w:t xml:space="preserve"> that replacing demand for one energy source (electricity) while building demand for another source (gas) defies the intent of ACT 129 which was to promote energy efficiency. </w:t>
      </w:r>
      <w:r w:rsidR="00450296">
        <w:rPr>
          <w:rFonts w:ascii="Arial" w:hAnsi="Arial" w:cs="Arial"/>
          <w:sz w:val="24"/>
          <w:szCs w:val="24"/>
        </w:rPr>
        <w:t xml:space="preserve"> </w:t>
      </w:r>
      <w:r w:rsidR="00E25820" w:rsidRPr="00512E96">
        <w:rPr>
          <w:rFonts w:ascii="Arial" w:hAnsi="Arial" w:cs="Arial"/>
          <w:sz w:val="24"/>
          <w:szCs w:val="24"/>
        </w:rPr>
        <w:t>(</w:t>
      </w:r>
      <w:r w:rsidR="00450296">
        <w:rPr>
          <w:rFonts w:ascii="Arial" w:hAnsi="Arial" w:cs="Arial"/>
          <w:sz w:val="24"/>
          <w:szCs w:val="24"/>
        </w:rPr>
        <w:t xml:space="preserve">KEEA </w:t>
      </w:r>
      <w:r w:rsidR="00E25820">
        <w:rPr>
          <w:rFonts w:ascii="Arial" w:hAnsi="Arial" w:cs="Arial"/>
          <w:sz w:val="24"/>
          <w:szCs w:val="24"/>
        </w:rPr>
        <w:t>Comments</w:t>
      </w:r>
      <w:r w:rsidR="00E25820" w:rsidRPr="00512E96">
        <w:rPr>
          <w:rFonts w:ascii="Arial" w:hAnsi="Arial" w:cs="Arial"/>
          <w:sz w:val="24"/>
          <w:szCs w:val="24"/>
        </w:rPr>
        <w:t xml:space="preserve"> at 1</w:t>
      </w:r>
      <w:r w:rsidR="00450296">
        <w:rPr>
          <w:rFonts w:ascii="Arial" w:hAnsi="Arial" w:cs="Arial"/>
          <w:sz w:val="24"/>
          <w:szCs w:val="24"/>
        </w:rPr>
        <w:t xml:space="preserve"> and </w:t>
      </w:r>
      <w:r w:rsidR="00E25820" w:rsidRPr="00512E96">
        <w:rPr>
          <w:rFonts w:ascii="Arial" w:hAnsi="Arial" w:cs="Arial"/>
          <w:sz w:val="24"/>
          <w:szCs w:val="24"/>
        </w:rPr>
        <w:t>2</w:t>
      </w:r>
      <w:r w:rsidR="002718CE">
        <w:rPr>
          <w:rFonts w:ascii="Arial" w:hAnsi="Arial" w:cs="Arial"/>
          <w:sz w:val="24"/>
          <w:szCs w:val="24"/>
        </w:rPr>
        <w:t>.</w:t>
      </w:r>
      <w:r w:rsidR="00E25820" w:rsidRPr="00512E96">
        <w:rPr>
          <w:rFonts w:ascii="Arial" w:hAnsi="Arial" w:cs="Arial"/>
          <w:sz w:val="24"/>
          <w:szCs w:val="24"/>
        </w:rPr>
        <w:t xml:space="preserve">) </w:t>
      </w:r>
      <w:r w:rsidR="002718CE">
        <w:rPr>
          <w:rFonts w:ascii="Arial" w:hAnsi="Arial" w:cs="Arial"/>
          <w:sz w:val="24"/>
          <w:szCs w:val="24"/>
        </w:rPr>
        <w:t xml:space="preserve"> </w:t>
      </w:r>
      <w:r w:rsidR="00E25820" w:rsidRPr="00512E96">
        <w:rPr>
          <w:rFonts w:ascii="Arial" w:hAnsi="Arial" w:cs="Arial"/>
          <w:sz w:val="24"/>
          <w:szCs w:val="24"/>
        </w:rPr>
        <w:t xml:space="preserve">The Public Utility Commission should consider deferring ruling on all but a limited number </w:t>
      </w:r>
      <w:r w:rsidR="00450296">
        <w:rPr>
          <w:rFonts w:ascii="Arial" w:hAnsi="Arial" w:cs="Arial"/>
          <w:sz w:val="24"/>
          <w:szCs w:val="24"/>
        </w:rPr>
        <w:t xml:space="preserve">of </w:t>
      </w:r>
      <w:r w:rsidR="00E25820" w:rsidRPr="00512E96">
        <w:rPr>
          <w:rFonts w:ascii="Arial" w:hAnsi="Arial" w:cs="Arial"/>
          <w:sz w:val="24"/>
          <w:szCs w:val="24"/>
        </w:rPr>
        <w:t xml:space="preserve">fuel switching options until gas conservation plans are ready for implementation.  This action will help safeguard against policies that may ultimately favor greater consumption of gas. </w:t>
      </w:r>
      <w:r w:rsidR="00250B26">
        <w:rPr>
          <w:rFonts w:ascii="Arial" w:hAnsi="Arial" w:cs="Arial"/>
          <w:sz w:val="24"/>
          <w:szCs w:val="24"/>
        </w:rPr>
        <w:t xml:space="preserve"> </w:t>
      </w:r>
      <w:r w:rsidR="00E25820" w:rsidRPr="00512E96">
        <w:rPr>
          <w:rFonts w:ascii="Arial" w:hAnsi="Arial" w:cs="Arial"/>
          <w:sz w:val="24"/>
          <w:szCs w:val="24"/>
        </w:rPr>
        <w:t>(</w:t>
      </w:r>
      <w:r w:rsidR="002E2523">
        <w:rPr>
          <w:rFonts w:ascii="Arial" w:hAnsi="Arial" w:cs="Arial"/>
          <w:sz w:val="24"/>
          <w:szCs w:val="24"/>
        </w:rPr>
        <w:t xml:space="preserve">KEEA </w:t>
      </w:r>
      <w:r w:rsidR="00E25820">
        <w:rPr>
          <w:rFonts w:ascii="Arial" w:hAnsi="Arial" w:cs="Arial"/>
          <w:sz w:val="24"/>
          <w:szCs w:val="24"/>
        </w:rPr>
        <w:t>Comments</w:t>
      </w:r>
      <w:r w:rsidR="00E25820" w:rsidRPr="00512E96">
        <w:rPr>
          <w:rFonts w:ascii="Arial" w:hAnsi="Arial" w:cs="Arial"/>
          <w:sz w:val="24"/>
          <w:szCs w:val="24"/>
        </w:rPr>
        <w:t xml:space="preserve"> at 2</w:t>
      </w:r>
      <w:r w:rsidR="000B4BAD">
        <w:rPr>
          <w:rFonts w:ascii="Arial" w:hAnsi="Arial" w:cs="Arial"/>
          <w:sz w:val="24"/>
          <w:szCs w:val="24"/>
        </w:rPr>
        <w:t>.</w:t>
      </w:r>
      <w:r w:rsidR="00E25820" w:rsidRPr="00512E96">
        <w:rPr>
          <w:rFonts w:ascii="Arial" w:hAnsi="Arial" w:cs="Arial"/>
          <w:sz w:val="24"/>
          <w:szCs w:val="24"/>
        </w:rPr>
        <w:t>)</w:t>
      </w:r>
    </w:p>
    <w:p w:rsidR="005412B5" w:rsidRDefault="005412B5" w:rsidP="001848DE">
      <w:pPr>
        <w:spacing w:after="0" w:line="360" w:lineRule="auto"/>
        <w:ind w:firstLine="720"/>
        <w:rPr>
          <w:rFonts w:ascii="Arial" w:hAnsi="Arial" w:cs="Arial"/>
          <w:sz w:val="24"/>
          <w:szCs w:val="24"/>
        </w:rPr>
      </w:pPr>
    </w:p>
    <w:p w:rsidR="000B4BAD" w:rsidRDefault="000B4BAD" w:rsidP="000B4BAD">
      <w:pPr>
        <w:spacing w:after="0" w:line="360" w:lineRule="auto"/>
        <w:ind w:left="14" w:firstLine="706"/>
        <w:rPr>
          <w:rFonts w:ascii="Arial" w:hAnsi="Arial" w:cs="Arial"/>
          <w:sz w:val="24"/>
          <w:szCs w:val="24"/>
        </w:rPr>
      </w:pPr>
      <w:r w:rsidRPr="00512E96">
        <w:rPr>
          <w:rFonts w:ascii="Arial" w:hAnsi="Arial" w:cs="Arial"/>
          <w:sz w:val="24"/>
          <w:szCs w:val="24"/>
        </w:rPr>
        <w:t xml:space="preserve">SEF supports </w:t>
      </w:r>
      <w:r>
        <w:rPr>
          <w:rFonts w:ascii="Arial" w:hAnsi="Arial" w:cs="Arial"/>
          <w:sz w:val="24"/>
          <w:szCs w:val="24"/>
        </w:rPr>
        <w:t xml:space="preserve">KEEA’s </w:t>
      </w:r>
      <w:r w:rsidRPr="00512E96">
        <w:rPr>
          <w:rFonts w:ascii="Arial" w:hAnsi="Arial" w:cs="Arial"/>
          <w:sz w:val="24"/>
          <w:szCs w:val="24"/>
        </w:rPr>
        <w:t>comments</w:t>
      </w:r>
      <w:r>
        <w:rPr>
          <w:rFonts w:ascii="Arial" w:hAnsi="Arial" w:cs="Arial"/>
          <w:sz w:val="24"/>
          <w:szCs w:val="24"/>
        </w:rPr>
        <w:t>,</w:t>
      </w:r>
      <w:r w:rsidRPr="00512E96">
        <w:rPr>
          <w:rFonts w:ascii="Arial" w:hAnsi="Arial" w:cs="Arial"/>
          <w:sz w:val="24"/>
          <w:szCs w:val="24"/>
        </w:rPr>
        <w:t xml:space="preserve"> specifically </w:t>
      </w:r>
      <w:r>
        <w:rPr>
          <w:rFonts w:ascii="Arial" w:hAnsi="Arial" w:cs="Arial"/>
          <w:sz w:val="24"/>
          <w:szCs w:val="24"/>
        </w:rPr>
        <w:t xml:space="preserve">that </w:t>
      </w:r>
      <w:r w:rsidRPr="00512E96">
        <w:rPr>
          <w:rFonts w:ascii="Arial" w:hAnsi="Arial" w:cs="Arial"/>
          <w:sz w:val="24"/>
          <w:szCs w:val="24"/>
        </w:rPr>
        <w:t xml:space="preserve">natural gas local distribution companies should be encouraged by the Commission to file natural gas conservation plans that move customers towards more efficient equipment. </w:t>
      </w:r>
      <w:r>
        <w:rPr>
          <w:rFonts w:ascii="Arial" w:hAnsi="Arial" w:cs="Arial"/>
          <w:sz w:val="24"/>
          <w:szCs w:val="24"/>
        </w:rPr>
        <w:t xml:space="preserve"> </w:t>
      </w:r>
      <w:r w:rsidRPr="00512E96">
        <w:rPr>
          <w:rFonts w:ascii="Arial" w:hAnsi="Arial" w:cs="Arial"/>
          <w:sz w:val="24"/>
          <w:szCs w:val="24"/>
        </w:rPr>
        <w:t>(</w:t>
      </w:r>
      <w:r>
        <w:rPr>
          <w:rFonts w:ascii="Arial" w:hAnsi="Arial" w:cs="Arial"/>
          <w:sz w:val="24"/>
          <w:szCs w:val="24"/>
        </w:rPr>
        <w:t>SEF Reply Comments</w:t>
      </w:r>
      <w:r w:rsidRPr="00512E96">
        <w:rPr>
          <w:rFonts w:ascii="Arial" w:hAnsi="Arial" w:cs="Arial"/>
          <w:sz w:val="24"/>
          <w:szCs w:val="24"/>
        </w:rPr>
        <w:t xml:space="preserve"> at 3</w:t>
      </w:r>
      <w:r>
        <w:rPr>
          <w:rFonts w:ascii="Arial" w:hAnsi="Arial" w:cs="Arial"/>
          <w:sz w:val="24"/>
          <w:szCs w:val="24"/>
        </w:rPr>
        <w:t>.</w:t>
      </w:r>
      <w:r w:rsidRPr="00512E96">
        <w:rPr>
          <w:rFonts w:ascii="Arial" w:hAnsi="Arial" w:cs="Arial"/>
          <w:sz w:val="24"/>
          <w:szCs w:val="24"/>
        </w:rPr>
        <w:t>)</w:t>
      </w:r>
    </w:p>
    <w:p w:rsidR="00750FF8" w:rsidRDefault="00750FF8" w:rsidP="001848DE">
      <w:pPr>
        <w:spacing w:after="0" w:line="360" w:lineRule="auto"/>
        <w:ind w:firstLine="720"/>
        <w:rPr>
          <w:rFonts w:ascii="Arial" w:hAnsi="Arial" w:cs="Arial"/>
          <w:sz w:val="24"/>
          <w:szCs w:val="24"/>
        </w:rPr>
      </w:pPr>
    </w:p>
    <w:p w:rsidR="00750FF8" w:rsidRDefault="00750FF8" w:rsidP="001848DE">
      <w:pPr>
        <w:spacing w:after="0" w:line="360" w:lineRule="auto"/>
        <w:ind w:firstLine="720"/>
        <w:rPr>
          <w:rFonts w:ascii="Arial" w:hAnsi="Arial" w:cs="Arial"/>
          <w:sz w:val="24"/>
          <w:szCs w:val="24"/>
        </w:rPr>
      </w:pPr>
      <w:r>
        <w:rPr>
          <w:rFonts w:ascii="Arial" w:hAnsi="Arial" w:cs="Arial"/>
          <w:sz w:val="24"/>
          <w:szCs w:val="24"/>
        </w:rPr>
        <w:lastRenderedPageBreak/>
        <w:t>The Industrial Customer Groups support the examination and pursuit of cost</w:t>
      </w:r>
      <w:r w:rsidR="00250B26">
        <w:rPr>
          <w:rFonts w:ascii="Arial" w:hAnsi="Arial" w:cs="Arial"/>
          <w:sz w:val="24"/>
          <w:szCs w:val="24"/>
        </w:rPr>
        <w:noBreakHyphen/>
      </w:r>
      <w:r>
        <w:rPr>
          <w:rFonts w:ascii="Arial" w:hAnsi="Arial" w:cs="Arial"/>
          <w:sz w:val="24"/>
          <w:szCs w:val="24"/>
        </w:rPr>
        <w:t xml:space="preserve">effective conservation and efficiency projects by individual commercial and industrial customers, but believe the establishment of natural gas conservation programs is not appropriate for larger customers. </w:t>
      </w:r>
      <w:r w:rsidR="00B42094">
        <w:rPr>
          <w:rFonts w:ascii="Arial" w:hAnsi="Arial" w:cs="Arial"/>
          <w:sz w:val="24"/>
          <w:szCs w:val="24"/>
        </w:rPr>
        <w:t xml:space="preserve"> </w:t>
      </w:r>
      <w:r>
        <w:rPr>
          <w:rFonts w:ascii="Arial" w:hAnsi="Arial" w:cs="Arial"/>
          <w:sz w:val="24"/>
          <w:szCs w:val="24"/>
        </w:rPr>
        <w:t>(Industrial Customer Groups Reply Comments at 2</w:t>
      </w:r>
      <w:r w:rsidR="00B42094">
        <w:rPr>
          <w:rFonts w:ascii="Arial" w:hAnsi="Arial" w:cs="Arial"/>
          <w:sz w:val="24"/>
          <w:szCs w:val="24"/>
        </w:rPr>
        <w:t>.</w:t>
      </w:r>
      <w:r>
        <w:rPr>
          <w:rFonts w:ascii="Arial" w:hAnsi="Arial" w:cs="Arial"/>
          <w:sz w:val="24"/>
          <w:szCs w:val="24"/>
        </w:rPr>
        <w:t>)</w:t>
      </w:r>
    </w:p>
    <w:p w:rsidR="00641DD9" w:rsidRDefault="00641DD9" w:rsidP="001848DE">
      <w:pPr>
        <w:spacing w:after="0" w:line="360" w:lineRule="auto"/>
        <w:ind w:firstLine="720"/>
        <w:rPr>
          <w:rFonts w:ascii="Arial" w:hAnsi="Arial" w:cs="Arial"/>
          <w:sz w:val="24"/>
          <w:szCs w:val="24"/>
        </w:rPr>
      </w:pPr>
    </w:p>
    <w:p w:rsidR="00641DD9" w:rsidRDefault="00641DD9" w:rsidP="001848DE">
      <w:pPr>
        <w:spacing w:after="0" w:line="360" w:lineRule="auto"/>
        <w:ind w:firstLine="720"/>
        <w:rPr>
          <w:rFonts w:ascii="Arial" w:hAnsi="Arial" w:cs="Arial"/>
          <w:sz w:val="24"/>
          <w:szCs w:val="24"/>
        </w:rPr>
      </w:pPr>
      <w:r>
        <w:rPr>
          <w:rFonts w:ascii="Arial" w:hAnsi="Arial" w:cs="Arial"/>
          <w:sz w:val="24"/>
          <w:szCs w:val="24"/>
        </w:rPr>
        <w:t>UGI</w:t>
      </w:r>
      <w:r w:rsidR="00A960EF">
        <w:rPr>
          <w:rFonts w:ascii="Arial" w:hAnsi="Arial" w:cs="Arial"/>
          <w:sz w:val="24"/>
          <w:szCs w:val="24"/>
        </w:rPr>
        <w:t xml:space="preserve"> note</w:t>
      </w:r>
      <w:r w:rsidR="003565BF">
        <w:rPr>
          <w:rFonts w:ascii="Arial" w:hAnsi="Arial" w:cs="Arial"/>
          <w:sz w:val="24"/>
          <w:szCs w:val="24"/>
        </w:rPr>
        <w:t>s</w:t>
      </w:r>
      <w:r w:rsidR="00A960EF">
        <w:rPr>
          <w:rFonts w:ascii="Arial" w:hAnsi="Arial" w:cs="Arial"/>
          <w:sz w:val="24"/>
          <w:szCs w:val="24"/>
        </w:rPr>
        <w:t xml:space="preserve"> that on a total fuel cycle basis, the direct end use of natural gas for heating purposes would result in more NGDC system throughput, but would lead to an overall reduction in electric and gas usage because less gas will be used (and wasted) to generate electricity for heating purposes, even recognizing that not all electric generating units are powered by gas.  </w:t>
      </w:r>
      <w:r w:rsidR="003565BF">
        <w:rPr>
          <w:rFonts w:ascii="Arial" w:hAnsi="Arial" w:cs="Arial"/>
          <w:sz w:val="24"/>
          <w:szCs w:val="24"/>
        </w:rPr>
        <w:t>UGI a</w:t>
      </w:r>
      <w:r w:rsidR="00A960EF">
        <w:rPr>
          <w:rFonts w:ascii="Arial" w:hAnsi="Arial" w:cs="Arial"/>
          <w:sz w:val="24"/>
          <w:szCs w:val="24"/>
        </w:rPr>
        <w:t>ttached as Appendix B</w:t>
      </w:r>
      <w:r w:rsidR="003565BF">
        <w:rPr>
          <w:rFonts w:ascii="Arial" w:hAnsi="Arial" w:cs="Arial"/>
          <w:sz w:val="24"/>
          <w:szCs w:val="24"/>
        </w:rPr>
        <w:t xml:space="preserve"> to its Reply Comments</w:t>
      </w:r>
      <w:r w:rsidR="00A960EF">
        <w:rPr>
          <w:rFonts w:ascii="Arial" w:hAnsi="Arial" w:cs="Arial"/>
          <w:sz w:val="24"/>
          <w:szCs w:val="24"/>
        </w:rPr>
        <w:t xml:space="preserve"> a diagram showing energy use on a national scale and the portion that is wasted through fuel conversion and distribution over electric transmission and distribution systems.  A similar Pennsylvania</w:t>
      </w:r>
      <w:r w:rsidR="00A960EF">
        <w:rPr>
          <w:rFonts w:ascii="Arial" w:hAnsi="Arial" w:cs="Arial"/>
          <w:sz w:val="24"/>
          <w:szCs w:val="24"/>
        </w:rPr>
        <w:noBreakHyphen/>
        <w:t xml:space="preserve">specific analysis was utilized in preparing the fuel conversion examples developed by the subgroup and is the basis for the calculation of the energy saved by the proposed measures.  These analyses show that the equation </w:t>
      </w:r>
      <w:r w:rsidR="00C33721">
        <w:rPr>
          <w:rFonts w:ascii="Arial" w:hAnsi="Arial" w:cs="Arial"/>
          <w:sz w:val="24"/>
          <w:szCs w:val="24"/>
        </w:rPr>
        <w:t>of increased NGDC system throughput with reduced energy efficiency is simply wrong.  (UGI Reply Comments at 12.)</w:t>
      </w:r>
    </w:p>
    <w:p w:rsidR="001A04DD" w:rsidRDefault="001A04DD" w:rsidP="001848DE">
      <w:pPr>
        <w:spacing w:after="0" w:line="360" w:lineRule="auto"/>
        <w:ind w:left="20" w:firstLine="288"/>
        <w:rPr>
          <w:rFonts w:ascii="Arial" w:hAnsi="Arial" w:cs="Arial"/>
          <w:sz w:val="24"/>
          <w:szCs w:val="24"/>
          <w:u w:val="single"/>
        </w:rPr>
      </w:pPr>
    </w:p>
    <w:p w:rsidR="001A04DD" w:rsidRPr="00282F3D" w:rsidRDefault="001A04DD" w:rsidP="001848DE">
      <w:pPr>
        <w:spacing w:after="0" w:line="360" w:lineRule="auto"/>
        <w:ind w:left="20" w:firstLine="288"/>
        <w:rPr>
          <w:rFonts w:ascii="Arial" w:hAnsi="Arial" w:cs="Arial"/>
          <w:sz w:val="24"/>
          <w:szCs w:val="24"/>
          <w:u w:val="single"/>
        </w:rPr>
      </w:pPr>
      <w:r w:rsidRPr="00282F3D">
        <w:rPr>
          <w:rFonts w:ascii="Arial" w:hAnsi="Arial" w:cs="Arial"/>
          <w:sz w:val="24"/>
          <w:szCs w:val="24"/>
          <w:u w:val="single"/>
        </w:rPr>
        <w:t>Staff Recommendation</w:t>
      </w:r>
    </w:p>
    <w:p w:rsidR="001A04DD" w:rsidRDefault="001A04DD" w:rsidP="001848DE">
      <w:pPr>
        <w:spacing w:after="0" w:line="360" w:lineRule="auto"/>
        <w:ind w:firstLine="720"/>
        <w:rPr>
          <w:rFonts w:ascii="Arial" w:hAnsi="Arial" w:cs="Arial"/>
          <w:sz w:val="24"/>
          <w:szCs w:val="24"/>
        </w:rPr>
      </w:pPr>
    </w:p>
    <w:p w:rsidR="00506874" w:rsidRPr="00C21904" w:rsidRDefault="00B42094" w:rsidP="001848DE">
      <w:pPr>
        <w:spacing w:after="0" w:line="360" w:lineRule="auto"/>
        <w:ind w:firstLine="720"/>
        <w:rPr>
          <w:rFonts w:ascii="Arial" w:hAnsi="Arial" w:cs="Arial"/>
          <w:sz w:val="24"/>
          <w:szCs w:val="24"/>
        </w:rPr>
      </w:pPr>
      <w:r w:rsidRPr="00C21904">
        <w:rPr>
          <w:rFonts w:ascii="Arial" w:hAnsi="Arial" w:cs="Arial"/>
          <w:sz w:val="24"/>
          <w:szCs w:val="24"/>
        </w:rPr>
        <w:t xml:space="preserve">Staff recommends that any energy efficiency program for NGDCs be addressed in another proceeding.  While the benefits of an NGDC energy efficiency program may be in the public interest, such a program is beyond the scope of Act 129 and the </w:t>
      </w:r>
      <w:r w:rsidR="003F1C30" w:rsidRPr="00C21904">
        <w:rPr>
          <w:rFonts w:ascii="Arial" w:hAnsi="Arial" w:cs="Arial"/>
          <w:sz w:val="24"/>
          <w:szCs w:val="24"/>
        </w:rPr>
        <w:t>mission of this Working Group.</w:t>
      </w:r>
    </w:p>
    <w:p w:rsidR="00290F50" w:rsidRDefault="00290F50" w:rsidP="001848DE">
      <w:pPr>
        <w:spacing w:after="0" w:line="360" w:lineRule="auto"/>
        <w:ind w:firstLine="720"/>
        <w:rPr>
          <w:rFonts w:ascii="Arial" w:hAnsi="Arial" w:cs="Arial"/>
          <w:color w:val="C00000"/>
          <w:sz w:val="24"/>
          <w:szCs w:val="24"/>
        </w:rPr>
      </w:pPr>
    </w:p>
    <w:p w:rsidR="003F1C30" w:rsidRPr="00506874" w:rsidRDefault="003F1C30" w:rsidP="001848DE">
      <w:pPr>
        <w:spacing w:after="0" w:line="360" w:lineRule="auto"/>
        <w:ind w:firstLine="720"/>
        <w:rPr>
          <w:rFonts w:ascii="Arial" w:hAnsi="Arial" w:cs="Arial"/>
          <w:color w:val="C00000"/>
          <w:sz w:val="24"/>
          <w:szCs w:val="24"/>
        </w:rPr>
      </w:pPr>
    </w:p>
    <w:p w:rsidR="00DF01C0" w:rsidRDefault="00DF01C0">
      <w:pPr>
        <w:spacing w:after="0" w:line="240" w:lineRule="auto"/>
        <w:rPr>
          <w:rFonts w:ascii="Arial" w:hAnsi="Arial" w:cs="Arial"/>
          <w:sz w:val="24"/>
          <w:szCs w:val="24"/>
        </w:rPr>
      </w:pPr>
    </w:p>
    <w:p w:rsidR="00DF01C0" w:rsidRDefault="00DF01C0">
      <w:pPr>
        <w:spacing w:after="0" w:line="240" w:lineRule="auto"/>
        <w:rPr>
          <w:rFonts w:ascii="Arial" w:hAnsi="Arial" w:cs="Arial"/>
          <w:sz w:val="24"/>
          <w:szCs w:val="24"/>
        </w:rPr>
      </w:pPr>
    </w:p>
    <w:p w:rsidR="00DF01C0" w:rsidRDefault="00DF01C0">
      <w:pPr>
        <w:spacing w:after="0" w:line="240" w:lineRule="auto"/>
        <w:rPr>
          <w:rFonts w:ascii="Arial" w:hAnsi="Arial" w:cs="Arial"/>
          <w:sz w:val="24"/>
          <w:szCs w:val="24"/>
        </w:rPr>
      </w:pPr>
    </w:p>
    <w:p w:rsidR="00DF01C0" w:rsidRDefault="00DF01C0">
      <w:pPr>
        <w:spacing w:after="0" w:line="240" w:lineRule="auto"/>
        <w:rPr>
          <w:rFonts w:ascii="Arial" w:hAnsi="Arial" w:cs="Arial"/>
          <w:sz w:val="24"/>
          <w:szCs w:val="24"/>
        </w:rPr>
      </w:pPr>
    </w:p>
    <w:p w:rsidR="00DF01C0" w:rsidRDefault="00DF01C0">
      <w:pPr>
        <w:spacing w:after="0" w:line="240" w:lineRule="auto"/>
        <w:rPr>
          <w:rFonts w:ascii="Arial" w:hAnsi="Arial" w:cs="Arial"/>
          <w:sz w:val="24"/>
          <w:szCs w:val="24"/>
        </w:rPr>
      </w:pPr>
    </w:p>
    <w:p w:rsidR="00DF01C0" w:rsidRDefault="00DF01C0">
      <w:pPr>
        <w:spacing w:after="0" w:line="240" w:lineRule="auto"/>
        <w:rPr>
          <w:rFonts w:ascii="Arial" w:hAnsi="Arial" w:cs="Arial"/>
          <w:sz w:val="24"/>
          <w:szCs w:val="24"/>
        </w:rPr>
      </w:pPr>
    </w:p>
    <w:p w:rsidR="005B539C" w:rsidRPr="00DF01C0" w:rsidRDefault="00DF01C0" w:rsidP="00DF01C0">
      <w:pPr>
        <w:pStyle w:val="ListParagraph"/>
        <w:numPr>
          <w:ilvl w:val="0"/>
          <w:numId w:val="6"/>
        </w:numPr>
        <w:spacing w:after="0" w:line="240" w:lineRule="auto"/>
        <w:outlineLvl w:val="1"/>
        <w:rPr>
          <w:rFonts w:ascii="Arial" w:hAnsi="Arial" w:cs="Arial"/>
          <w:sz w:val="24"/>
          <w:szCs w:val="24"/>
        </w:rPr>
      </w:pPr>
      <w:bookmarkStart w:id="20" w:name="_Toc260316382"/>
      <w:r>
        <w:rPr>
          <w:rFonts w:ascii="Arial" w:hAnsi="Arial" w:cs="Arial"/>
          <w:sz w:val="24"/>
          <w:szCs w:val="24"/>
          <w:u w:val="single"/>
        </w:rPr>
        <w:lastRenderedPageBreak/>
        <w:t>Low Income Customer Fuel Switching</w:t>
      </w:r>
      <w:bookmarkEnd w:id="20"/>
    </w:p>
    <w:p w:rsidR="002E2523" w:rsidRPr="00512E96" w:rsidRDefault="002E2523" w:rsidP="00DF01C0">
      <w:pPr>
        <w:spacing w:after="0" w:line="360" w:lineRule="auto"/>
        <w:rPr>
          <w:rFonts w:ascii="Arial" w:hAnsi="Arial" w:cs="Arial"/>
          <w:sz w:val="24"/>
          <w:szCs w:val="24"/>
        </w:rPr>
      </w:pPr>
    </w:p>
    <w:p w:rsidR="002E2523" w:rsidRDefault="00ED5907" w:rsidP="001848DE">
      <w:pPr>
        <w:spacing w:after="0" w:line="360" w:lineRule="auto"/>
        <w:ind w:firstLine="720"/>
        <w:rPr>
          <w:rFonts w:ascii="Arial" w:hAnsi="Arial" w:cs="Arial"/>
          <w:sz w:val="24"/>
          <w:szCs w:val="24"/>
        </w:rPr>
      </w:pPr>
      <w:r w:rsidRPr="00512E96">
        <w:rPr>
          <w:rFonts w:ascii="Arial" w:hAnsi="Arial" w:cs="Arial"/>
          <w:sz w:val="24"/>
          <w:szCs w:val="24"/>
        </w:rPr>
        <w:t xml:space="preserve">PULP </w:t>
      </w:r>
      <w:r w:rsidR="00D6520B">
        <w:rPr>
          <w:rFonts w:ascii="Arial" w:hAnsi="Arial" w:cs="Arial"/>
          <w:sz w:val="24"/>
          <w:szCs w:val="24"/>
        </w:rPr>
        <w:t xml:space="preserve">states that it </w:t>
      </w:r>
      <w:r w:rsidRPr="00512E96">
        <w:rPr>
          <w:rFonts w:ascii="Arial" w:hAnsi="Arial" w:cs="Arial"/>
          <w:sz w:val="24"/>
          <w:szCs w:val="24"/>
        </w:rPr>
        <w:t xml:space="preserve">has no position on whether the Commission should prohibit, permit or require fuel switching generally.  </w:t>
      </w:r>
      <w:r w:rsidR="00FC2783">
        <w:rPr>
          <w:rFonts w:ascii="Arial" w:hAnsi="Arial" w:cs="Arial"/>
          <w:sz w:val="24"/>
          <w:szCs w:val="24"/>
        </w:rPr>
        <w:t xml:space="preserve">PULP </w:t>
      </w:r>
      <w:r w:rsidRPr="00512E96">
        <w:rPr>
          <w:rFonts w:ascii="Arial" w:hAnsi="Arial" w:cs="Arial"/>
          <w:sz w:val="24"/>
          <w:szCs w:val="24"/>
        </w:rPr>
        <w:t>submit</w:t>
      </w:r>
      <w:r w:rsidR="00FC2783">
        <w:rPr>
          <w:rFonts w:ascii="Arial" w:hAnsi="Arial" w:cs="Arial"/>
          <w:sz w:val="24"/>
          <w:szCs w:val="24"/>
        </w:rPr>
        <w:t>s</w:t>
      </w:r>
      <w:r w:rsidRPr="00512E96">
        <w:rPr>
          <w:rFonts w:ascii="Arial" w:hAnsi="Arial" w:cs="Arial"/>
          <w:sz w:val="24"/>
          <w:szCs w:val="24"/>
        </w:rPr>
        <w:t xml:space="preserve"> that there are</w:t>
      </w:r>
      <w:r w:rsidR="00761D79">
        <w:rPr>
          <w:rFonts w:ascii="Arial" w:hAnsi="Arial" w:cs="Arial"/>
          <w:sz w:val="24"/>
          <w:szCs w:val="24"/>
        </w:rPr>
        <w:t xml:space="preserve">, however, </w:t>
      </w:r>
      <w:r w:rsidRPr="00512E96">
        <w:rPr>
          <w:rFonts w:ascii="Arial" w:hAnsi="Arial" w:cs="Arial"/>
          <w:sz w:val="24"/>
          <w:szCs w:val="24"/>
        </w:rPr>
        <w:t xml:space="preserve">three situations in which fuel switching may be cost effective as well as beneficial to health and safety.  In these situations, </w:t>
      </w:r>
      <w:r w:rsidR="00FC2783">
        <w:rPr>
          <w:rFonts w:ascii="Arial" w:hAnsi="Arial" w:cs="Arial"/>
          <w:sz w:val="24"/>
          <w:szCs w:val="24"/>
        </w:rPr>
        <w:t xml:space="preserve">PULP recommends that </w:t>
      </w:r>
      <w:r w:rsidRPr="00512E96">
        <w:rPr>
          <w:rFonts w:ascii="Arial" w:hAnsi="Arial" w:cs="Arial"/>
          <w:sz w:val="24"/>
          <w:szCs w:val="24"/>
        </w:rPr>
        <w:t>fuel switching should be approved.</w:t>
      </w:r>
    </w:p>
    <w:p w:rsidR="00ED5907" w:rsidRPr="00512E96" w:rsidRDefault="00ED5907" w:rsidP="001848DE">
      <w:pPr>
        <w:spacing w:after="0" w:line="360" w:lineRule="auto"/>
        <w:ind w:firstLine="720"/>
        <w:rPr>
          <w:rFonts w:ascii="Arial" w:hAnsi="Arial" w:cs="Arial"/>
          <w:sz w:val="24"/>
          <w:szCs w:val="24"/>
        </w:rPr>
      </w:pPr>
      <w:r w:rsidRPr="00512E96">
        <w:rPr>
          <w:rFonts w:ascii="Arial" w:hAnsi="Arial" w:cs="Arial"/>
          <w:sz w:val="24"/>
          <w:szCs w:val="24"/>
        </w:rPr>
        <w:t xml:space="preserve"> </w:t>
      </w:r>
    </w:p>
    <w:p w:rsidR="00836B82" w:rsidRDefault="00836B82">
      <w:pPr>
        <w:spacing w:after="0" w:line="240" w:lineRule="auto"/>
        <w:rPr>
          <w:rFonts w:ascii="Arial" w:hAnsi="Arial" w:cs="Arial"/>
          <w:b/>
          <w:sz w:val="24"/>
          <w:szCs w:val="24"/>
        </w:rPr>
      </w:pPr>
    </w:p>
    <w:p w:rsidR="00ED5907" w:rsidRDefault="00ED5907" w:rsidP="00761D79">
      <w:pPr>
        <w:numPr>
          <w:ilvl w:val="0"/>
          <w:numId w:val="8"/>
        </w:numPr>
        <w:spacing w:after="0" w:line="360" w:lineRule="auto"/>
        <w:ind w:right="720"/>
        <w:rPr>
          <w:rFonts w:ascii="Arial" w:hAnsi="Arial" w:cs="Arial"/>
          <w:sz w:val="24"/>
          <w:szCs w:val="24"/>
        </w:rPr>
      </w:pPr>
      <w:r w:rsidRPr="00512E96">
        <w:rPr>
          <w:rFonts w:ascii="Arial" w:hAnsi="Arial" w:cs="Arial"/>
          <w:b/>
          <w:sz w:val="24"/>
          <w:szCs w:val="24"/>
        </w:rPr>
        <w:t xml:space="preserve">Fuel switching where a customer’s electric heating system is broken.   </w:t>
      </w:r>
      <w:r w:rsidRPr="00512E96">
        <w:rPr>
          <w:rFonts w:ascii="Arial" w:hAnsi="Arial" w:cs="Arial"/>
          <w:sz w:val="24"/>
          <w:szCs w:val="24"/>
        </w:rPr>
        <w:t xml:space="preserve">It may happen that an EDC or its agent, in the process of providing weatherization or Act 129 services, will discover that a low income household has no heat because the household’s electric heating system is broken.  In these situations, when it is cost-effective for the customer, the EDC should be permitted to use EDC funds to replace the electric heating system with a natural gas system rather than repairing the old electric system or replacing the old electric system with a new electric system.  </w:t>
      </w:r>
    </w:p>
    <w:p w:rsidR="002E2523" w:rsidRPr="00512E96" w:rsidRDefault="002E2523" w:rsidP="001848DE">
      <w:pPr>
        <w:spacing w:after="0" w:line="360" w:lineRule="auto"/>
        <w:rPr>
          <w:rFonts w:ascii="Arial" w:hAnsi="Arial" w:cs="Arial"/>
          <w:sz w:val="24"/>
          <w:szCs w:val="24"/>
        </w:rPr>
      </w:pPr>
    </w:p>
    <w:p w:rsidR="00ED5907" w:rsidRPr="001178CE" w:rsidRDefault="00ED5907" w:rsidP="001178CE">
      <w:pPr>
        <w:numPr>
          <w:ilvl w:val="0"/>
          <w:numId w:val="8"/>
        </w:numPr>
        <w:spacing w:after="0" w:line="360" w:lineRule="auto"/>
        <w:ind w:right="720"/>
        <w:rPr>
          <w:rFonts w:ascii="Arial" w:hAnsi="Arial" w:cs="Arial"/>
          <w:sz w:val="24"/>
          <w:szCs w:val="24"/>
        </w:rPr>
      </w:pPr>
      <w:r w:rsidRPr="001178CE">
        <w:rPr>
          <w:rFonts w:ascii="Arial" w:hAnsi="Arial" w:cs="Arial"/>
          <w:b/>
          <w:sz w:val="24"/>
          <w:szCs w:val="24"/>
        </w:rPr>
        <w:t xml:space="preserve">Repairing or replacing a broken down gas furnace/heating system.  </w:t>
      </w:r>
      <w:r w:rsidRPr="001178CE">
        <w:rPr>
          <w:rFonts w:ascii="Arial" w:hAnsi="Arial" w:cs="Arial"/>
          <w:sz w:val="24"/>
          <w:szCs w:val="24"/>
        </w:rPr>
        <w:t>It may happen that an EDC or its agent, in the process of providing weatherization or Act 129 services to a low income household, discovers that the main heating source is natural gas, not electric.  This often occurs where the household employs electric space heaters to heat the household due to the inoperability of the natural gas furnace, resulting in excessive electricity usage.  In these situations, although not fuel switching per se, the EDC should be permitted to use EDC funds to repair the natural gas furnace or to replace it with another natural gas furnace.</w:t>
      </w:r>
    </w:p>
    <w:p w:rsidR="002E2523" w:rsidRPr="00512E96" w:rsidRDefault="002E2523" w:rsidP="001848DE">
      <w:pPr>
        <w:spacing w:after="0" w:line="360" w:lineRule="auto"/>
        <w:rPr>
          <w:rFonts w:ascii="Arial" w:hAnsi="Arial" w:cs="Arial"/>
          <w:sz w:val="24"/>
          <w:szCs w:val="24"/>
        </w:rPr>
      </w:pPr>
    </w:p>
    <w:p w:rsidR="002445DC" w:rsidRPr="001178CE" w:rsidRDefault="00ED5907" w:rsidP="001178CE">
      <w:pPr>
        <w:numPr>
          <w:ilvl w:val="0"/>
          <w:numId w:val="8"/>
        </w:numPr>
        <w:spacing w:after="0" w:line="360" w:lineRule="auto"/>
        <w:ind w:right="720"/>
        <w:rPr>
          <w:rFonts w:ascii="Arial" w:hAnsi="Arial" w:cs="Arial"/>
          <w:sz w:val="24"/>
          <w:szCs w:val="24"/>
        </w:rPr>
      </w:pPr>
      <w:r w:rsidRPr="001178CE">
        <w:rPr>
          <w:rFonts w:ascii="Arial" w:hAnsi="Arial" w:cs="Arial"/>
          <w:b/>
          <w:sz w:val="24"/>
          <w:szCs w:val="24"/>
        </w:rPr>
        <w:t>Replacing highly inefficient electric baseboard heat.</w:t>
      </w:r>
      <w:r w:rsidRPr="001178CE">
        <w:rPr>
          <w:rFonts w:ascii="Arial" w:hAnsi="Arial" w:cs="Arial"/>
          <w:sz w:val="24"/>
          <w:szCs w:val="24"/>
        </w:rPr>
        <w:t xml:space="preserve">  It may happen that an EDC or its agent, in the process of providing </w:t>
      </w:r>
      <w:r w:rsidRPr="001178CE">
        <w:rPr>
          <w:rFonts w:ascii="Arial" w:hAnsi="Arial" w:cs="Arial"/>
          <w:sz w:val="24"/>
          <w:szCs w:val="24"/>
        </w:rPr>
        <w:lastRenderedPageBreak/>
        <w:t xml:space="preserve">weatherization or Act 129 services to a low income household, discovers that the main heating source is electric baseboard heating, perhaps the most inefficient heating available.  In these situations, when it is cost-effective for the customer, the EDC should be permitted to use EDC funds to replace this inefficient baseboard heating with a natural gas heating system. </w:t>
      </w:r>
    </w:p>
    <w:p w:rsidR="002445DC" w:rsidRDefault="002445DC" w:rsidP="001848DE">
      <w:pPr>
        <w:pStyle w:val="ListParagraph"/>
        <w:spacing w:after="0" w:line="360" w:lineRule="auto"/>
        <w:rPr>
          <w:rFonts w:ascii="Arial" w:hAnsi="Arial" w:cs="Arial"/>
          <w:sz w:val="24"/>
          <w:szCs w:val="24"/>
        </w:rPr>
      </w:pPr>
    </w:p>
    <w:p w:rsidR="006C031F" w:rsidRDefault="00ED5907" w:rsidP="001848DE">
      <w:pPr>
        <w:spacing w:after="0" w:line="360" w:lineRule="auto"/>
        <w:rPr>
          <w:rFonts w:ascii="Arial" w:hAnsi="Arial" w:cs="Arial"/>
          <w:sz w:val="24"/>
          <w:szCs w:val="24"/>
        </w:rPr>
      </w:pPr>
      <w:r w:rsidRPr="00512E96">
        <w:rPr>
          <w:rFonts w:ascii="Arial" w:hAnsi="Arial" w:cs="Arial"/>
          <w:sz w:val="24"/>
          <w:szCs w:val="24"/>
        </w:rPr>
        <w:t>(</w:t>
      </w:r>
      <w:r w:rsidR="002445DC">
        <w:rPr>
          <w:rFonts w:ascii="Arial" w:hAnsi="Arial" w:cs="Arial"/>
          <w:sz w:val="24"/>
          <w:szCs w:val="24"/>
        </w:rPr>
        <w:t xml:space="preserve">PULP </w:t>
      </w:r>
      <w:r w:rsidR="00B4007E">
        <w:rPr>
          <w:rFonts w:ascii="Arial" w:hAnsi="Arial" w:cs="Arial"/>
          <w:sz w:val="24"/>
          <w:szCs w:val="24"/>
        </w:rPr>
        <w:t>Comments</w:t>
      </w:r>
      <w:r w:rsidRPr="00512E96">
        <w:rPr>
          <w:rFonts w:ascii="Arial" w:hAnsi="Arial" w:cs="Arial"/>
          <w:sz w:val="24"/>
          <w:szCs w:val="24"/>
        </w:rPr>
        <w:t xml:space="preserve"> at 1-3</w:t>
      </w:r>
      <w:r w:rsidR="003F1C30">
        <w:rPr>
          <w:rFonts w:ascii="Arial" w:hAnsi="Arial" w:cs="Arial"/>
          <w:sz w:val="24"/>
          <w:szCs w:val="24"/>
        </w:rPr>
        <w:t>.</w:t>
      </w:r>
      <w:r w:rsidRPr="00512E96">
        <w:rPr>
          <w:rFonts w:ascii="Arial" w:hAnsi="Arial" w:cs="Arial"/>
          <w:sz w:val="24"/>
          <w:szCs w:val="24"/>
        </w:rPr>
        <w:t>)</w:t>
      </w:r>
    </w:p>
    <w:p w:rsidR="00BF5B1B" w:rsidRDefault="00BF5B1B" w:rsidP="001848DE">
      <w:pPr>
        <w:spacing w:after="0" w:line="360" w:lineRule="auto"/>
        <w:rPr>
          <w:rFonts w:ascii="Arial" w:hAnsi="Arial" w:cs="Arial"/>
          <w:sz w:val="24"/>
          <w:szCs w:val="24"/>
        </w:rPr>
      </w:pPr>
    </w:p>
    <w:p w:rsidR="0063425A" w:rsidRDefault="00C21A28" w:rsidP="001178CE">
      <w:pPr>
        <w:spacing w:after="0" w:line="360" w:lineRule="auto"/>
        <w:ind w:firstLine="720"/>
        <w:rPr>
          <w:rFonts w:ascii="Arial" w:hAnsi="Arial" w:cs="Arial"/>
          <w:sz w:val="24"/>
          <w:szCs w:val="24"/>
        </w:rPr>
      </w:pPr>
      <w:r w:rsidRPr="00512E96">
        <w:rPr>
          <w:rFonts w:ascii="Arial" w:hAnsi="Arial" w:cs="Arial"/>
          <w:sz w:val="24"/>
          <w:szCs w:val="24"/>
        </w:rPr>
        <w:t xml:space="preserve">SEF supports the comments of </w:t>
      </w:r>
      <w:r w:rsidR="00875AD4">
        <w:rPr>
          <w:rFonts w:ascii="Arial" w:hAnsi="Arial" w:cs="Arial"/>
          <w:sz w:val="24"/>
          <w:szCs w:val="24"/>
        </w:rPr>
        <w:t>PULP</w:t>
      </w:r>
      <w:r w:rsidRPr="00512E96">
        <w:rPr>
          <w:rFonts w:ascii="Arial" w:hAnsi="Arial" w:cs="Arial"/>
          <w:sz w:val="24"/>
          <w:szCs w:val="24"/>
        </w:rPr>
        <w:t xml:space="preserve"> in that replacement of broken down space heating equipment provides both an economic and societal benefit.</w:t>
      </w:r>
      <w:r w:rsidR="003F1C30">
        <w:rPr>
          <w:rFonts w:ascii="Arial" w:hAnsi="Arial" w:cs="Arial"/>
          <w:sz w:val="24"/>
          <w:szCs w:val="24"/>
        </w:rPr>
        <w:t xml:space="preserve"> </w:t>
      </w:r>
      <w:r w:rsidRPr="00512E96">
        <w:rPr>
          <w:rFonts w:ascii="Arial" w:hAnsi="Arial" w:cs="Arial"/>
          <w:sz w:val="24"/>
          <w:szCs w:val="24"/>
        </w:rPr>
        <w:t xml:space="preserve"> (</w:t>
      </w:r>
      <w:r w:rsidR="002E2523">
        <w:rPr>
          <w:rFonts w:ascii="Arial" w:hAnsi="Arial" w:cs="Arial"/>
          <w:sz w:val="24"/>
          <w:szCs w:val="24"/>
        </w:rPr>
        <w:t xml:space="preserve">PULP </w:t>
      </w:r>
      <w:r w:rsidR="00974B97">
        <w:rPr>
          <w:rFonts w:ascii="Arial" w:hAnsi="Arial" w:cs="Arial"/>
          <w:sz w:val="24"/>
          <w:szCs w:val="24"/>
        </w:rPr>
        <w:t>Reply Comments</w:t>
      </w:r>
      <w:r w:rsidRPr="00512E96">
        <w:rPr>
          <w:rFonts w:ascii="Arial" w:hAnsi="Arial" w:cs="Arial"/>
          <w:sz w:val="24"/>
          <w:szCs w:val="24"/>
        </w:rPr>
        <w:t xml:space="preserve"> at 3</w:t>
      </w:r>
      <w:r w:rsidR="003F1C30">
        <w:rPr>
          <w:rFonts w:ascii="Arial" w:hAnsi="Arial" w:cs="Arial"/>
          <w:sz w:val="24"/>
          <w:szCs w:val="24"/>
        </w:rPr>
        <w:t>.</w:t>
      </w:r>
      <w:r w:rsidRPr="00512E96">
        <w:rPr>
          <w:rFonts w:ascii="Arial" w:hAnsi="Arial" w:cs="Arial"/>
          <w:sz w:val="24"/>
          <w:szCs w:val="24"/>
        </w:rPr>
        <w:t>)</w:t>
      </w:r>
      <w:r w:rsidR="001178CE">
        <w:rPr>
          <w:rFonts w:ascii="Arial" w:hAnsi="Arial" w:cs="Arial"/>
          <w:sz w:val="24"/>
          <w:szCs w:val="24"/>
        </w:rPr>
        <w:t xml:space="preserve">  </w:t>
      </w:r>
      <w:r w:rsidR="00A44EBA">
        <w:rPr>
          <w:rFonts w:ascii="Arial" w:hAnsi="Arial" w:cs="Arial"/>
          <w:sz w:val="24"/>
          <w:szCs w:val="24"/>
        </w:rPr>
        <w:t>CLS</w:t>
      </w:r>
      <w:r w:rsidR="0063425A" w:rsidRPr="00512E96">
        <w:rPr>
          <w:rFonts w:ascii="Arial" w:hAnsi="Arial" w:cs="Arial"/>
          <w:sz w:val="24"/>
          <w:szCs w:val="24"/>
        </w:rPr>
        <w:t xml:space="preserve"> is fully supportive of the Fuel Switching Comments of </w:t>
      </w:r>
      <w:r w:rsidR="00A44EBA">
        <w:rPr>
          <w:rFonts w:ascii="Arial" w:hAnsi="Arial" w:cs="Arial"/>
          <w:sz w:val="24"/>
          <w:szCs w:val="24"/>
        </w:rPr>
        <w:t>PULP</w:t>
      </w:r>
      <w:r w:rsidR="0063425A" w:rsidRPr="00512E96">
        <w:rPr>
          <w:rFonts w:ascii="Arial" w:hAnsi="Arial" w:cs="Arial"/>
          <w:sz w:val="24"/>
          <w:szCs w:val="24"/>
        </w:rPr>
        <w:t xml:space="preserve">. </w:t>
      </w:r>
      <w:r w:rsidR="003F1C30">
        <w:rPr>
          <w:rFonts w:ascii="Arial" w:hAnsi="Arial" w:cs="Arial"/>
          <w:sz w:val="24"/>
          <w:szCs w:val="24"/>
        </w:rPr>
        <w:t xml:space="preserve"> </w:t>
      </w:r>
      <w:r w:rsidR="0063425A" w:rsidRPr="00512E96">
        <w:rPr>
          <w:rFonts w:ascii="Arial" w:hAnsi="Arial" w:cs="Arial"/>
          <w:sz w:val="24"/>
          <w:szCs w:val="24"/>
        </w:rPr>
        <w:t>(</w:t>
      </w:r>
      <w:r w:rsidR="0063425A">
        <w:rPr>
          <w:rFonts w:ascii="Arial" w:hAnsi="Arial" w:cs="Arial"/>
          <w:sz w:val="24"/>
          <w:szCs w:val="24"/>
        </w:rPr>
        <w:t>CLS Comments</w:t>
      </w:r>
      <w:r w:rsidR="0063425A" w:rsidRPr="00512E96">
        <w:rPr>
          <w:rFonts w:ascii="Arial" w:hAnsi="Arial" w:cs="Arial"/>
          <w:sz w:val="24"/>
          <w:szCs w:val="24"/>
        </w:rPr>
        <w:t xml:space="preserve"> at 1</w:t>
      </w:r>
      <w:r w:rsidR="003F1C30">
        <w:rPr>
          <w:rFonts w:ascii="Arial" w:hAnsi="Arial" w:cs="Arial"/>
          <w:sz w:val="24"/>
          <w:szCs w:val="24"/>
        </w:rPr>
        <w:t>.</w:t>
      </w:r>
      <w:r w:rsidR="0063425A" w:rsidRPr="00512E96">
        <w:rPr>
          <w:rFonts w:ascii="Arial" w:hAnsi="Arial" w:cs="Arial"/>
          <w:sz w:val="24"/>
          <w:szCs w:val="24"/>
        </w:rPr>
        <w:t>)</w:t>
      </w:r>
    </w:p>
    <w:p w:rsidR="00C33721" w:rsidRDefault="00C33721" w:rsidP="001848DE">
      <w:pPr>
        <w:autoSpaceDE w:val="0"/>
        <w:autoSpaceDN w:val="0"/>
        <w:adjustRightInd w:val="0"/>
        <w:spacing w:after="0" w:line="360" w:lineRule="auto"/>
        <w:ind w:firstLine="720"/>
        <w:rPr>
          <w:rFonts w:ascii="Arial" w:hAnsi="Arial" w:cs="Arial"/>
          <w:sz w:val="24"/>
          <w:szCs w:val="24"/>
        </w:rPr>
      </w:pPr>
    </w:p>
    <w:p w:rsidR="0063425A" w:rsidRDefault="0063425A" w:rsidP="001848DE">
      <w:pPr>
        <w:spacing w:after="0" w:line="360" w:lineRule="auto"/>
        <w:ind w:firstLine="720"/>
        <w:rPr>
          <w:rFonts w:ascii="Arial" w:hAnsi="Arial" w:cs="Arial"/>
          <w:color w:val="000000"/>
          <w:sz w:val="24"/>
          <w:szCs w:val="24"/>
        </w:rPr>
      </w:pPr>
      <w:r w:rsidRPr="00512E96">
        <w:rPr>
          <w:rFonts w:ascii="Arial" w:hAnsi="Arial" w:cs="Arial"/>
          <w:color w:val="000000"/>
          <w:sz w:val="24"/>
          <w:szCs w:val="24"/>
        </w:rPr>
        <w:t xml:space="preserve">Citizen Power supports the comments of </w:t>
      </w:r>
      <w:r w:rsidR="00A44EBA">
        <w:rPr>
          <w:rFonts w:ascii="Arial" w:hAnsi="Arial" w:cs="Arial"/>
          <w:color w:val="000000"/>
          <w:sz w:val="24"/>
          <w:szCs w:val="24"/>
        </w:rPr>
        <w:t>PULP</w:t>
      </w:r>
      <w:r w:rsidRPr="00512E96">
        <w:rPr>
          <w:rFonts w:ascii="Arial" w:hAnsi="Arial" w:cs="Arial"/>
          <w:color w:val="000000"/>
          <w:sz w:val="24"/>
          <w:szCs w:val="24"/>
        </w:rPr>
        <w:t xml:space="preserve">. </w:t>
      </w:r>
      <w:r w:rsidR="00A44EBA">
        <w:rPr>
          <w:rFonts w:ascii="Arial" w:hAnsi="Arial" w:cs="Arial"/>
          <w:color w:val="000000"/>
          <w:sz w:val="24"/>
          <w:szCs w:val="24"/>
        </w:rPr>
        <w:t xml:space="preserve"> </w:t>
      </w:r>
      <w:r w:rsidRPr="00512E96">
        <w:rPr>
          <w:rFonts w:ascii="Arial" w:hAnsi="Arial" w:cs="Arial"/>
          <w:color w:val="000000"/>
          <w:sz w:val="24"/>
          <w:szCs w:val="24"/>
        </w:rPr>
        <w:t xml:space="preserve">Specifically, </w:t>
      </w:r>
      <w:r>
        <w:rPr>
          <w:rFonts w:ascii="Arial" w:hAnsi="Arial" w:cs="Arial"/>
          <w:color w:val="000000"/>
          <w:sz w:val="24"/>
          <w:szCs w:val="24"/>
        </w:rPr>
        <w:t>Citizen Power supports the recommendations concer</w:t>
      </w:r>
      <w:r w:rsidR="000C0215">
        <w:rPr>
          <w:rFonts w:ascii="Arial" w:hAnsi="Arial" w:cs="Arial"/>
          <w:color w:val="000000"/>
          <w:sz w:val="24"/>
          <w:szCs w:val="24"/>
        </w:rPr>
        <w:t>n</w:t>
      </w:r>
      <w:r>
        <w:rPr>
          <w:rFonts w:ascii="Arial" w:hAnsi="Arial" w:cs="Arial"/>
          <w:color w:val="000000"/>
          <w:sz w:val="24"/>
          <w:szCs w:val="24"/>
        </w:rPr>
        <w:t>ing</w:t>
      </w:r>
      <w:r w:rsidRPr="00512E96">
        <w:rPr>
          <w:rFonts w:ascii="Arial" w:hAnsi="Arial" w:cs="Arial"/>
          <w:color w:val="000000"/>
          <w:sz w:val="24"/>
          <w:szCs w:val="24"/>
        </w:rPr>
        <w:t xml:space="preserve"> fuel switching when an electric heating system is broken down in a low-income residence</w:t>
      </w:r>
      <w:r w:rsidR="00A44EBA">
        <w:rPr>
          <w:rFonts w:ascii="Arial" w:hAnsi="Arial" w:cs="Arial"/>
          <w:color w:val="000000"/>
          <w:sz w:val="24"/>
          <w:szCs w:val="24"/>
        </w:rPr>
        <w:t xml:space="preserve">. </w:t>
      </w:r>
      <w:r w:rsidRPr="00512E96">
        <w:rPr>
          <w:rFonts w:ascii="Arial" w:hAnsi="Arial" w:cs="Arial"/>
          <w:color w:val="000000"/>
          <w:sz w:val="24"/>
          <w:szCs w:val="24"/>
        </w:rPr>
        <w:t xml:space="preserve"> </w:t>
      </w:r>
      <w:r w:rsidR="001178CE">
        <w:rPr>
          <w:rFonts w:ascii="Arial" w:hAnsi="Arial" w:cs="Arial"/>
          <w:color w:val="000000"/>
          <w:sz w:val="24"/>
          <w:szCs w:val="24"/>
        </w:rPr>
        <w:t>Using EE&amp;C plan funds to r</w:t>
      </w:r>
      <w:r w:rsidRPr="00512E96">
        <w:rPr>
          <w:rFonts w:ascii="Arial" w:hAnsi="Arial" w:cs="Arial"/>
          <w:color w:val="000000"/>
          <w:sz w:val="24"/>
          <w:szCs w:val="24"/>
        </w:rPr>
        <w:t>epair or replac</w:t>
      </w:r>
      <w:r w:rsidR="00A762BD">
        <w:rPr>
          <w:rFonts w:ascii="Arial" w:hAnsi="Arial" w:cs="Arial"/>
          <w:color w:val="000000"/>
          <w:sz w:val="24"/>
          <w:szCs w:val="24"/>
        </w:rPr>
        <w:t>e</w:t>
      </w:r>
      <w:r w:rsidRPr="00512E96">
        <w:rPr>
          <w:rFonts w:ascii="Arial" w:hAnsi="Arial" w:cs="Arial"/>
          <w:color w:val="000000"/>
          <w:sz w:val="24"/>
          <w:szCs w:val="24"/>
        </w:rPr>
        <w:t xml:space="preserve"> an inoperable gas furnace to discourage the use of electric space heaters </w:t>
      </w:r>
      <w:r w:rsidR="00A762BD">
        <w:rPr>
          <w:rFonts w:ascii="Arial" w:hAnsi="Arial" w:cs="Arial"/>
          <w:color w:val="000000"/>
          <w:sz w:val="24"/>
          <w:szCs w:val="24"/>
        </w:rPr>
        <w:t>or to</w:t>
      </w:r>
      <w:r w:rsidRPr="00512E96">
        <w:rPr>
          <w:rFonts w:ascii="Arial" w:hAnsi="Arial" w:cs="Arial"/>
          <w:color w:val="000000"/>
          <w:sz w:val="24"/>
          <w:szCs w:val="24"/>
        </w:rPr>
        <w:t xml:space="preserve"> replac</w:t>
      </w:r>
      <w:r w:rsidR="00A762BD">
        <w:rPr>
          <w:rFonts w:ascii="Arial" w:hAnsi="Arial" w:cs="Arial"/>
          <w:color w:val="000000"/>
          <w:sz w:val="24"/>
          <w:szCs w:val="24"/>
        </w:rPr>
        <w:t>e</w:t>
      </w:r>
      <w:r w:rsidRPr="00512E96">
        <w:rPr>
          <w:rFonts w:ascii="Arial" w:hAnsi="Arial" w:cs="Arial"/>
          <w:color w:val="000000"/>
          <w:sz w:val="24"/>
          <w:szCs w:val="24"/>
        </w:rPr>
        <w:t xml:space="preserve"> highly inefficient baseboard heat</w:t>
      </w:r>
      <w:r w:rsidR="00A44EBA">
        <w:rPr>
          <w:rFonts w:ascii="Arial" w:hAnsi="Arial" w:cs="Arial"/>
          <w:color w:val="000000"/>
          <w:sz w:val="24"/>
          <w:szCs w:val="24"/>
        </w:rPr>
        <w:t xml:space="preserve"> is appropriate</w:t>
      </w:r>
      <w:r w:rsidRPr="00512E96">
        <w:rPr>
          <w:rFonts w:ascii="Arial" w:hAnsi="Arial" w:cs="Arial"/>
          <w:color w:val="000000"/>
          <w:sz w:val="24"/>
          <w:szCs w:val="24"/>
        </w:rPr>
        <w:t xml:space="preserve">. </w:t>
      </w:r>
      <w:r w:rsidR="003F1C30">
        <w:rPr>
          <w:rFonts w:ascii="Arial" w:hAnsi="Arial" w:cs="Arial"/>
          <w:color w:val="000000"/>
          <w:sz w:val="24"/>
          <w:szCs w:val="24"/>
        </w:rPr>
        <w:t xml:space="preserve"> </w:t>
      </w:r>
      <w:r w:rsidRPr="00512E96">
        <w:rPr>
          <w:rFonts w:ascii="Arial" w:hAnsi="Arial" w:cs="Arial"/>
          <w:color w:val="000000"/>
          <w:sz w:val="24"/>
          <w:szCs w:val="24"/>
        </w:rPr>
        <w:t>(</w:t>
      </w:r>
      <w:r>
        <w:rPr>
          <w:rFonts w:ascii="Arial" w:hAnsi="Arial" w:cs="Arial"/>
          <w:color w:val="000000"/>
          <w:sz w:val="24"/>
          <w:szCs w:val="24"/>
        </w:rPr>
        <w:t>Citizen Power Comments</w:t>
      </w:r>
      <w:r w:rsidRPr="00512E96">
        <w:rPr>
          <w:rFonts w:ascii="Arial" w:hAnsi="Arial" w:cs="Arial"/>
          <w:color w:val="000000"/>
          <w:sz w:val="24"/>
          <w:szCs w:val="24"/>
        </w:rPr>
        <w:t xml:space="preserve"> at 1</w:t>
      </w:r>
      <w:r w:rsidR="003F1C30">
        <w:rPr>
          <w:rFonts w:ascii="Arial" w:hAnsi="Arial" w:cs="Arial"/>
          <w:color w:val="000000"/>
          <w:sz w:val="24"/>
          <w:szCs w:val="24"/>
        </w:rPr>
        <w:t>.</w:t>
      </w:r>
      <w:r w:rsidRPr="00512E96">
        <w:rPr>
          <w:rFonts w:ascii="Arial" w:hAnsi="Arial" w:cs="Arial"/>
          <w:color w:val="000000"/>
          <w:sz w:val="24"/>
          <w:szCs w:val="24"/>
        </w:rPr>
        <w:t>)</w:t>
      </w:r>
    </w:p>
    <w:p w:rsidR="0063425A" w:rsidRPr="00512E96" w:rsidRDefault="0063425A" w:rsidP="001848DE">
      <w:pPr>
        <w:autoSpaceDE w:val="0"/>
        <w:autoSpaceDN w:val="0"/>
        <w:adjustRightInd w:val="0"/>
        <w:spacing w:after="0" w:line="360" w:lineRule="auto"/>
        <w:ind w:firstLine="720"/>
        <w:rPr>
          <w:rFonts w:ascii="Arial" w:hAnsi="Arial" w:cs="Arial"/>
          <w:sz w:val="24"/>
          <w:szCs w:val="24"/>
        </w:rPr>
      </w:pPr>
    </w:p>
    <w:p w:rsidR="00D6520B" w:rsidRDefault="00D6520B" w:rsidP="001848DE">
      <w:pPr>
        <w:spacing w:after="0" w:line="360" w:lineRule="auto"/>
        <w:ind w:firstLine="720"/>
        <w:rPr>
          <w:rFonts w:ascii="Arial" w:hAnsi="Arial" w:cs="Arial"/>
          <w:sz w:val="24"/>
          <w:szCs w:val="24"/>
        </w:rPr>
      </w:pPr>
      <w:r w:rsidRPr="00512E96">
        <w:rPr>
          <w:rFonts w:ascii="Arial" w:hAnsi="Arial" w:cs="Arial"/>
          <w:sz w:val="24"/>
          <w:szCs w:val="24"/>
        </w:rPr>
        <w:t xml:space="preserve">OCA supports the </w:t>
      </w:r>
      <w:r w:rsidR="001178CE">
        <w:rPr>
          <w:rFonts w:ascii="Arial" w:hAnsi="Arial" w:cs="Arial"/>
          <w:sz w:val="24"/>
          <w:szCs w:val="24"/>
        </w:rPr>
        <w:t>c</w:t>
      </w:r>
      <w:r w:rsidRPr="00512E96">
        <w:rPr>
          <w:rFonts w:ascii="Arial" w:hAnsi="Arial" w:cs="Arial"/>
          <w:sz w:val="24"/>
          <w:szCs w:val="24"/>
        </w:rPr>
        <w:t xml:space="preserve">omments of PULP that identified some unique situations where fuel switching, or the use of energy efficiency dollars to repair gas furnaces, could provide a significant benefit to the public and to the consumer.  In particular, OCA would highlight PULP’s suggestion that fuel switching is appropriate for consideration where a customer’s electric heating system is broken and an alternative fuel is available for heating that can provide a benefit over the repair or replacement of the existing electric heating system.  Further, as stated by PULP, repair or replacement of a broken natural gas furnace could be appropriate under an EDC’s </w:t>
      </w:r>
      <w:r w:rsidR="00A762BD">
        <w:rPr>
          <w:rFonts w:ascii="Arial" w:hAnsi="Arial" w:cs="Arial"/>
          <w:sz w:val="24"/>
          <w:szCs w:val="24"/>
        </w:rPr>
        <w:t>EE&amp;C</w:t>
      </w:r>
      <w:r w:rsidRPr="00512E96">
        <w:rPr>
          <w:rFonts w:ascii="Arial" w:hAnsi="Arial" w:cs="Arial"/>
          <w:sz w:val="24"/>
          <w:szCs w:val="24"/>
        </w:rPr>
        <w:t xml:space="preserve"> program if the customer is using inefficient electric space heaters to replace the broken furnace.  OCA strongly supports PULP’s suggestion that</w:t>
      </w:r>
      <w:r w:rsidR="00A762BD">
        <w:rPr>
          <w:rFonts w:ascii="Arial" w:hAnsi="Arial" w:cs="Arial"/>
          <w:sz w:val="24"/>
          <w:szCs w:val="24"/>
        </w:rPr>
        <w:t>,</w:t>
      </w:r>
      <w:r w:rsidRPr="00512E96">
        <w:rPr>
          <w:rFonts w:ascii="Arial" w:hAnsi="Arial" w:cs="Arial"/>
          <w:sz w:val="24"/>
          <w:szCs w:val="24"/>
        </w:rPr>
        <w:t xml:space="preserve"> when a home has natural gas service </w:t>
      </w:r>
      <w:r w:rsidRPr="00512E96">
        <w:rPr>
          <w:rFonts w:ascii="Arial" w:hAnsi="Arial" w:cs="Arial"/>
          <w:sz w:val="24"/>
          <w:szCs w:val="24"/>
        </w:rPr>
        <w:lastRenderedPageBreak/>
        <w:t>available, but is using electric space heaters to heat the home or supplement an inefficient natural gas or oil furnace, the use</w:t>
      </w:r>
      <w:r w:rsidR="00524596">
        <w:rPr>
          <w:rFonts w:ascii="Arial" w:hAnsi="Arial" w:cs="Arial"/>
          <w:sz w:val="24"/>
          <w:szCs w:val="24"/>
        </w:rPr>
        <w:t xml:space="preserve"> of</w:t>
      </w:r>
      <w:r w:rsidRPr="00512E96">
        <w:rPr>
          <w:rFonts w:ascii="Arial" w:hAnsi="Arial" w:cs="Arial"/>
          <w:sz w:val="24"/>
          <w:szCs w:val="24"/>
        </w:rPr>
        <w:t xml:space="preserve"> </w:t>
      </w:r>
      <w:r w:rsidR="00A762BD">
        <w:rPr>
          <w:rFonts w:ascii="Arial" w:hAnsi="Arial" w:cs="Arial"/>
          <w:sz w:val="24"/>
          <w:szCs w:val="24"/>
        </w:rPr>
        <w:t xml:space="preserve">an EDC’s </w:t>
      </w:r>
      <w:r w:rsidRPr="00512E96">
        <w:rPr>
          <w:rFonts w:ascii="Arial" w:hAnsi="Arial" w:cs="Arial"/>
          <w:sz w:val="24"/>
          <w:szCs w:val="24"/>
        </w:rPr>
        <w:t>energy efficiency dollars to repair or upgrade that furnace can provide an overall benefit.  (</w:t>
      </w:r>
      <w:r>
        <w:rPr>
          <w:rFonts w:ascii="Arial" w:hAnsi="Arial" w:cs="Arial"/>
          <w:sz w:val="24"/>
          <w:szCs w:val="24"/>
        </w:rPr>
        <w:t>OCA Reply Comments</w:t>
      </w:r>
      <w:r w:rsidRPr="00512E96">
        <w:rPr>
          <w:rFonts w:ascii="Arial" w:hAnsi="Arial" w:cs="Arial"/>
          <w:sz w:val="24"/>
          <w:szCs w:val="24"/>
        </w:rPr>
        <w:t xml:space="preserve"> at 3</w:t>
      </w:r>
      <w:r w:rsidR="003F1C30">
        <w:rPr>
          <w:rFonts w:ascii="Arial" w:hAnsi="Arial" w:cs="Arial"/>
          <w:sz w:val="24"/>
          <w:szCs w:val="24"/>
        </w:rPr>
        <w:t>.</w:t>
      </w:r>
      <w:r w:rsidRPr="00512E96">
        <w:rPr>
          <w:rFonts w:ascii="Arial" w:hAnsi="Arial" w:cs="Arial"/>
          <w:sz w:val="24"/>
          <w:szCs w:val="24"/>
        </w:rPr>
        <w:t>)</w:t>
      </w:r>
    </w:p>
    <w:p w:rsidR="00836B82" w:rsidRDefault="00836B82">
      <w:pPr>
        <w:spacing w:after="0" w:line="240" w:lineRule="auto"/>
        <w:rPr>
          <w:rFonts w:ascii="Arial" w:hAnsi="Arial" w:cs="Arial"/>
          <w:sz w:val="24"/>
          <w:szCs w:val="24"/>
          <w:u w:val="single"/>
        </w:rPr>
      </w:pPr>
    </w:p>
    <w:p w:rsidR="001A04DD" w:rsidRPr="00282F3D" w:rsidRDefault="001A04DD" w:rsidP="001848DE">
      <w:pPr>
        <w:spacing w:after="0" w:line="360" w:lineRule="auto"/>
        <w:ind w:left="20" w:firstLine="288"/>
        <w:rPr>
          <w:rFonts w:ascii="Arial" w:hAnsi="Arial" w:cs="Arial"/>
          <w:sz w:val="24"/>
          <w:szCs w:val="24"/>
          <w:u w:val="single"/>
        </w:rPr>
      </w:pPr>
      <w:r w:rsidRPr="00282F3D">
        <w:rPr>
          <w:rFonts w:ascii="Arial" w:hAnsi="Arial" w:cs="Arial"/>
          <w:sz w:val="24"/>
          <w:szCs w:val="24"/>
          <w:u w:val="single"/>
        </w:rPr>
        <w:t>Staff Recommendation</w:t>
      </w:r>
    </w:p>
    <w:p w:rsidR="001A04DD" w:rsidRDefault="001A04DD" w:rsidP="001848DE">
      <w:pPr>
        <w:spacing w:after="0" w:line="360" w:lineRule="auto"/>
        <w:ind w:firstLine="720"/>
        <w:rPr>
          <w:rFonts w:ascii="Arial" w:hAnsi="Arial" w:cs="Arial"/>
          <w:color w:val="000000"/>
          <w:sz w:val="24"/>
          <w:szCs w:val="24"/>
        </w:rPr>
      </w:pPr>
    </w:p>
    <w:p w:rsidR="000C0215" w:rsidRPr="00C21904" w:rsidRDefault="0063152B" w:rsidP="001848DE">
      <w:pPr>
        <w:spacing w:after="0" w:line="360" w:lineRule="auto"/>
        <w:ind w:firstLine="720"/>
        <w:rPr>
          <w:rFonts w:ascii="Arial" w:hAnsi="Arial" w:cs="Arial"/>
          <w:sz w:val="24"/>
          <w:szCs w:val="24"/>
        </w:rPr>
      </w:pPr>
      <w:r w:rsidRPr="00C21904">
        <w:rPr>
          <w:rFonts w:ascii="Arial" w:hAnsi="Arial" w:cs="Arial"/>
          <w:sz w:val="24"/>
          <w:szCs w:val="24"/>
        </w:rPr>
        <w:t xml:space="preserve">Staff </w:t>
      </w:r>
      <w:r w:rsidR="00A762BD" w:rsidRPr="00C21904">
        <w:rPr>
          <w:rFonts w:ascii="Arial" w:hAnsi="Arial" w:cs="Arial"/>
          <w:sz w:val="24"/>
          <w:szCs w:val="24"/>
        </w:rPr>
        <w:t>recommends that EDCs be permitted to consider</w:t>
      </w:r>
      <w:r w:rsidRPr="00C21904">
        <w:rPr>
          <w:rFonts w:ascii="Arial" w:hAnsi="Arial" w:cs="Arial"/>
          <w:sz w:val="24"/>
          <w:szCs w:val="24"/>
        </w:rPr>
        <w:t xml:space="preserve"> </w:t>
      </w:r>
      <w:r w:rsidR="00B276A3" w:rsidRPr="00C21904">
        <w:rPr>
          <w:rFonts w:ascii="Arial" w:hAnsi="Arial" w:cs="Arial"/>
          <w:sz w:val="24"/>
          <w:szCs w:val="24"/>
        </w:rPr>
        <w:t>fuel switching programs for low income customers as described by PULP.  To the extent that these programs would be shown to be cost</w:t>
      </w:r>
      <w:r w:rsidR="003F1C30" w:rsidRPr="00C21904">
        <w:rPr>
          <w:rFonts w:ascii="Arial" w:hAnsi="Arial" w:cs="Arial"/>
          <w:sz w:val="24"/>
          <w:szCs w:val="24"/>
        </w:rPr>
        <w:noBreakHyphen/>
      </w:r>
      <w:r w:rsidR="00B276A3" w:rsidRPr="00C21904">
        <w:rPr>
          <w:rFonts w:ascii="Arial" w:hAnsi="Arial" w:cs="Arial"/>
          <w:sz w:val="24"/>
          <w:szCs w:val="24"/>
        </w:rPr>
        <w:t>effective</w:t>
      </w:r>
      <w:r w:rsidR="006C1C58" w:rsidRPr="00C21904">
        <w:rPr>
          <w:rFonts w:ascii="Arial" w:hAnsi="Arial" w:cs="Arial"/>
          <w:sz w:val="24"/>
          <w:szCs w:val="24"/>
        </w:rPr>
        <w:t xml:space="preserve"> and assist the EDCs in meeting the Act 129 consumption and demand reduction targets</w:t>
      </w:r>
      <w:r w:rsidR="00B276A3" w:rsidRPr="00C21904">
        <w:rPr>
          <w:rFonts w:ascii="Arial" w:hAnsi="Arial" w:cs="Arial"/>
          <w:sz w:val="24"/>
          <w:szCs w:val="24"/>
        </w:rPr>
        <w:t xml:space="preserve">, </w:t>
      </w:r>
      <w:r w:rsidR="00545C9C" w:rsidRPr="00C21904">
        <w:rPr>
          <w:rFonts w:ascii="Arial" w:hAnsi="Arial" w:cs="Arial"/>
          <w:sz w:val="24"/>
          <w:szCs w:val="24"/>
        </w:rPr>
        <w:t xml:space="preserve">Staff recommends that </w:t>
      </w:r>
      <w:r w:rsidR="00B276A3" w:rsidRPr="00C21904">
        <w:rPr>
          <w:rFonts w:ascii="Arial" w:hAnsi="Arial" w:cs="Arial"/>
          <w:sz w:val="24"/>
          <w:szCs w:val="24"/>
        </w:rPr>
        <w:t xml:space="preserve">they be eligible for inclusion in revised EE&amp;C plans.  Furthermore, such programs may also help meet the EDCs’ </w:t>
      </w:r>
      <w:r w:rsidR="003F1C30" w:rsidRPr="00C21904">
        <w:rPr>
          <w:rFonts w:ascii="Arial" w:hAnsi="Arial" w:cs="Arial"/>
          <w:sz w:val="24"/>
          <w:szCs w:val="24"/>
        </w:rPr>
        <w:t xml:space="preserve">Act 129 </w:t>
      </w:r>
      <w:r w:rsidR="00B276A3" w:rsidRPr="00C21904">
        <w:rPr>
          <w:rFonts w:ascii="Arial" w:hAnsi="Arial" w:cs="Arial"/>
          <w:sz w:val="24"/>
          <w:szCs w:val="24"/>
        </w:rPr>
        <w:t>ta</w:t>
      </w:r>
      <w:r w:rsidR="00144ECF" w:rsidRPr="00C21904">
        <w:rPr>
          <w:rFonts w:ascii="Arial" w:hAnsi="Arial" w:cs="Arial"/>
          <w:sz w:val="24"/>
          <w:szCs w:val="24"/>
        </w:rPr>
        <w:t>rgets for low income energy efficiency and conservation</w:t>
      </w:r>
      <w:r w:rsidR="006C1C58" w:rsidRPr="00C21904">
        <w:rPr>
          <w:rFonts w:ascii="Arial" w:hAnsi="Arial" w:cs="Arial"/>
          <w:sz w:val="24"/>
          <w:szCs w:val="24"/>
        </w:rPr>
        <w:t xml:space="preserve"> measures</w:t>
      </w:r>
      <w:r w:rsidR="00144ECF" w:rsidRPr="00C21904">
        <w:rPr>
          <w:rFonts w:ascii="Arial" w:hAnsi="Arial" w:cs="Arial"/>
          <w:sz w:val="24"/>
          <w:szCs w:val="24"/>
        </w:rPr>
        <w:t xml:space="preserve">.  </w:t>
      </w:r>
      <w:r w:rsidR="00CB49C1" w:rsidRPr="00C21904">
        <w:rPr>
          <w:rFonts w:ascii="Arial" w:hAnsi="Arial" w:cs="Arial"/>
          <w:sz w:val="24"/>
          <w:szCs w:val="24"/>
        </w:rPr>
        <w:t xml:space="preserve">As such, proposed fuel switching programs targeted to low income customers should be </w:t>
      </w:r>
      <w:r w:rsidR="006C1C58" w:rsidRPr="00C21904">
        <w:rPr>
          <w:rFonts w:ascii="Arial" w:hAnsi="Arial" w:cs="Arial"/>
          <w:sz w:val="24"/>
          <w:szCs w:val="24"/>
        </w:rPr>
        <w:t xml:space="preserve">developed through the EDC stakeholder process </w:t>
      </w:r>
      <w:r w:rsidR="00EF2C65" w:rsidRPr="00C21904">
        <w:rPr>
          <w:rFonts w:ascii="Arial" w:hAnsi="Arial" w:cs="Arial"/>
          <w:sz w:val="24"/>
          <w:szCs w:val="24"/>
        </w:rPr>
        <w:t xml:space="preserve">and presented for Commission approval through the processes set forth in the </w:t>
      </w:r>
      <w:r w:rsidR="00EF2C65" w:rsidRPr="00C21904">
        <w:rPr>
          <w:rFonts w:ascii="Arial" w:hAnsi="Arial" w:cs="Arial"/>
          <w:i/>
          <w:sz w:val="24"/>
          <w:szCs w:val="24"/>
        </w:rPr>
        <w:t>Implementation Order</w:t>
      </w:r>
      <w:r w:rsidR="00EF2C65" w:rsidRPr="00C21904">
        <w:rPr>
          <w:rFonts w:ascii="Arial" w:hAnsi="Arial" w:cs="Arial"/>
          <w:sz w:val="24"/>
          <w:szCs w:val="24"/>
        </w:rPr>
        <w:t>.</w:t>
      </w:r>
    </w:p>
    <w:p w:rsidR="000C0215" w:rsidRDefault="000C0215" w:rsidP="001848DE">
      <w:pPr>
        <w:spacing w:after="0" w:line="360" w:lineRule="auto"/>
        <w:ind w:firstLine="720"/>
        <w:rPr>
          <w:rFonts w:ascii="Arial" w:hAnsi="Arial" w:cs="Arial"/>
          <w:color w:val="000000"/>
          <w:sz w:val="24"/>
          <w:szCs w:val="24"/>
        </w:rPr>
      </w:pPr>
    </w:p>
    <w:p w:rsidR="00EF2C65" w:rsidRDefault="00EF2C65" w:rsidP="001848DE">
      <w:pPr>
        <w:spacing w:after="0" w:line="360" w:lineRule="auto"/>
        <w:ind w:firstLine="720"/>
        <w:rPr>
          <w:rFonts w:ascii="Arial" w:hAnsi="Arial" w:cs="Arial"/>
          <w:color w:val="000000"/>
          <w:sz w:val="24"/>
          <w:szCs w:val="24"/>
        </w:rPr>
      </w:pPr>
    </w:p>
    <w:p w:rsidR="006C031F" w:rsidRPr="00B40C24" w:rsidRDefault="00F466CD" w:rsidP="00572F60">
      <w:pPr>
        <w:pStyle w:val="ListParagraph"/>
        <w:numPr>
          <w:ilvl w:val="0"/>
          <w:numId w:val="6"/>
        </w:numPr>
        <w:spacing w:after="0" w:line="360" w:lineRule="auto"/>
        <w:outlineLvl w:val="1"/>
        <w:rPr>
          <w:rFonts w:ascii="Arial" w:hAnsi="Arial" w:cs="Arial"/>
          <w:sz w:val="24"/>
          <w:szCs w:val="24"/>
          <w:u w:val="single"/>
        </w:rPr>
      </w:pPr>
      <w:bookmarkStart w:id="21" w:name="_Toc260316383"/>
      <w:r w:rsidRPr="00B40C24">
        <w:rPr>
          <w:rFonts w:ascii="Arial" w:hAnsi="Arial" w:cs="Arial"/>
          <w:sz w:val="24"/>
          <w:szCs w:val="24"/>
          <w:u w:val="single"/>
        </w:rPr>
        <w:t>Fuel Neutrality</w:t>
      </w:r>
      <w:bookmarkEnd w:id="21"/>
    </w:p>
    <w:p w:rsidR="001A04DD" w:rsidRDefault="001A04DD" w:rsidP="001848DE">
      <w:pPr>
        <w:tabs>
          <w:tab w:val="left" w:pos="0"/>
        </w:tabs>
        <w:spacing w:after="0" w:line="360" w:lineRule="auto"/>
        <w:ind w:firstLine="720"/>
        <w:rPr>
          <w:rFonts w:ascii="Arial" w:hAnsi="Arial" w:cs="Arial"/>
          <w:sz w:val="24"/>
          <w:szCs w:val="24"/>
        </w:rPr>
      </w:pPr>
    </w:p>
    <w:p w:rsidR="00F466CD" w:rsidRDefault="00F466CD" w:rsidP="001848DE">
      <w:pPr>
        <w:tabs>
          <w:tab w:val="left" w:pos="0"/>
        </w:tabs>
        <w:spacing w:after="0" w:line="360" w:lineRule="auto"/>
        <w:ind w:firstLine="720"/>
        <w:rPr>
          <w:rFonts w:ascii="Arial" w:hAnsi="Arial" w:cs="Arial"/>
          <w:sz w:val="24"/>
          <w:szCs w:val="24"/>
        </w:rPr>
      </w:pPr>
      <w:r w:rsidRPr="002E50F7">
        <w:rPr>
          <w:rFonts w:ascii="Arial" w:hAnsi="Arial" w:cs="Arial"/>
          <w:sz w:val="24"/>
          <w:szCs w:val="24"/>
        </w:rPr>
        <w:t xml:space="preserve">FirstEnergy </w:t>
      </w:r>
      <w:r w:rsidR="0019634D">
        <w:rPr>
          <w:rFonts w:ascii="Arial" w:hAnsi="Arial" w:cs="Arial"/>
          <w:sz w:val="24"/>
          <w:szCs w:val="24"/>
        </w:rPr>
        <w:t xml:space="preserve">and PPL </w:t>
      </w:r>
      <w:r w:rsidRPr="002E50F7">
        <w:rPr>
          <w:rFonts w:ascii="Arial" w:hAnsi="Arial" w:cs="Arial"/>
          <w:sz w:val="24"/>
          <w:szCs w:val="24"/>
        </w:rPr>
        <w:t>point out that the FSWG initially agreed that any fuel switching measure, if permitted by the Commission, should be fuel neutral.  The only examples set forth by the subcommittee and commented on to date addressed natural gas technologies</w:t>
      </w:r>
      <w:r w:rsidR="00545C9C">
        <w:rPr>
          <w:rFonts w:ascii="Arial" w:hAnsi="Arial" w:cs="Arial"/>
          <w:sz w:val="24"/>
          <w:szCs w:val="24"/>
        </w:rPr>
        <w:t>,</w:t>
      </w:r>
      <w:r w:rsidRPr="002E50F7">
        <w:rPr>
          <w:rFonts w:ascii="Arial" w:hAnsi="Arial" w:cs="Arial"/>
          <w:sz w:val="24"/>
          <w:szCs w:val="24"/>
        </w:rPr>
        <w:t xml:space="preserve"> and no other substitute fuels have been considered.  To optimize choice for customers, including those without access to natural gas, it is vital for the FSWG to consider other fuels such as propane or oil. </w:t>
      </w:r>
      <w:r w:rsidR="00EF2C65">
        <w:rPr>
          <w:rFonts w:ascii="Arial" w:hAnsi="Arial" w:cs="Arial"/>
          <w:sz w:val="24"/>
          <w:szCs w:val="24"/>
        </w:rPr>
        <w:t xml:space="preserve"> </w:t>
      </w:r>
      <w:r w:rsidRPr="002E50F7">
        <w:rPr>
          <w:rFonts w:ascii="Arial" w:hAnsi="Arial" w:cs="Arial"/>
          <w:sz w:val="24"/>
          <w:szCs w:val="24"/>
        </w:rPr>
        <w:t>(</w:t>
      </w:r>
      <w:r w:rsidR="00786311">
        <w:rPr>
          <w:rFonts w:ascii="Arial" w:hAnsi="Arial" w:cs="Arial"/>
          <w:sz w:val="24"/>
          <w:szCs w:val="24"/>
        </w:rPr>
        <w:t xml:space="preserve">FirstEnergy </w:t>
      </w:r>
      <w:r w:rsidR="00974B97">
        <w:rPr>
          <w:rFonts w:ascii="Arial" w:hAnsi="Arial" w:cs="Arial"/>
          <w:sz w:val="24"/>
          <w:szCs w:val="24"/>
        </w:rPr>
        <w:t>Reply Comments</w:t>
      </w:r>
      <w:r w:rsidRPr="002E50F7">
        <w:rPr>
          <w:rFonts w:ascii="Arial" w:hAnsi="Arial" w:cs="Arial"/>
          <w:sz w:val="24"/>
          <w:szCs w:val="24"/>
        </w:rPr>
        <w:t xml:space="preserve"> at 2</w:t>
      </w:r>
      <w:r w:rsidR="00EF2C65">
        <w:rPr>
          <w:rFonts w:ascii="Arial" w:hAnsi="Arial" w:cs="Arial"/>
          <w:sz w:val="24"/>
          <w:szCs w:val="24"/>
        </w:rPr>
        <w:t xml:space="preserve"> and </w:t>
      </w:r>
      <w:r w:rsidR="0019634D">
        <w:rPr>
          <w:rFonts w:ascii="Arial" w:hAnsi="Arial" w:cs="Arial"/>
          <w:sz w:val="24"/>
          <w:szCs w:val="24"/>
        </w:rPr>
        <w:t>PPL Reply Comments</w:t>
      </w:r>
      <w:r w:rsidR="0019634D" w:rsidRPr="002E50F7">
        <w:rPr>
          <w:rFonts w:ascii="Arial" w:hAnsi="Arial" w:cs="Arial"/>
          <w:sz w:val="24"/>
          <w:szCs w:val="24"/>
        </w:rPr>
        <w:t xml:space="preserve"> at 2</w:t>
      </w:r>
      <w:r w:rsidR="00EF2C65">
        <w:rPr>
          <w:rFonts w:ascii="Arial" w:hAnsi="Arial" w:cs="Arial"/>
          <w:sz w:val="24"/>
          <w:szCs w:val="24"/>
        </w:rPr>
        <w:t>.</w:t>
      </w:r>
      <w:r w:rsidR="0019634D" w:rsidRPr="002E50F7">
        <w:rPr>
          <w:rFonts w:ascii="Arial" w:hAnsi="Arial" w:cs="Arial"/>
          <w:sz w:val="24"/>
          <w:szCs w:val="24"/>
        </w:rPr>
        <w:t>)</w:t>
      </w:r>
    </w:p>
    <w:p w:rsidR="00786311" w:rsidRPr="002E50F7" w:rsidRDefault="00786311" w:rsidP="001848DE">
      <w:pPr>
        <w:tabs>
          <w:tab w:val="left" w:pos="0"/>
        </w:tabs>
        <w:spacing w:after="0" w:line="360" w:lineRule="auto"/>
        <w:ind w:firstLine="720"/>
        <w:rPr>
          <w:rFonts w:ascii="Arial" w:hAnsi="Arial" w:cs="Arial"/>
          <w:sz w:val="24"/>
          <w:szCs w:val="24"/>
        </w:rPr>
      </w:pPr>
    </w:p>
    <w:p w:rsidR="00ED0D27" w:rsidRDefault="00ED0D27" w:rsidP="001848DE">
      <w:pPr>
        <w:spacing w:after="0" w:line="360" w:lineRule="auto"/>
        <w:ind w:left="20" w:firstLine="700"/>
        <w:rPr>
          <w:rFonts w:ascii="Arial" w:hAnsi="Arial" w:cs="Arial"/>
          <w:sz w:val="24"/>
          <w:szCs w:val="24"/>
        </w:rPr>
      </w:pPr>
      <w:r w:rsidRPr="002E50F7">
        <w:rPr>
          <w:rFonts w:ascii="Arial" w:hAnsi="Arial" w:cs="Arial"/>
          <w:sz w:val="24"/>
          <w:szCs w:val="24"/>
        </w:rPr>
        <w:t xml:space="preserve">SEF recommends the Commission direct EDCs that offer efficient electric space heating or water heating equipment programs to offer comparable programs that provide equivalent incentives for ratepayers choosing a competing energy source such </w:t>
      </w:r>
      <w:r w:rsidRPr="002E50F7">
        <w:rPr>
          <w:rFonts w:ascii="Arial" w:hAnsi="Arial" w:cs="Arial"/>
          <w:sz w:val="24"/>
          <w:szCs w:val="24"/>
        </w:rPr>
        <w:lastRenderedPageBreak/>
        <w:t xml:space="preserve">as biomass, solar thermal or natural gas. </w:t>
      </w:r>
      <w:r w:rsidR="00F252B7">
        <w:rPr>
          <w:rFonts w:ascii="Arial" w:hAnsi="Arial" w:cs="Arial"/>
          <w:sz w:val="24"/>
          <w:szCs w:val="24"/>
        </w:rPr>
        <w:t xml:space="preserve"> </w:t>
      </w:r>
      <w:r w:rsidR="005C1669">
        <w:rPr>
          <w:rFonts w:ascii="Arial" w:hAnsi="Arial" w:cs="Arial"/>
          <w:sz w:val="24"/>
          <w:szCs w:val="24"/>
        </w:rPr>
        <w:t>SEF submits that i</w:t>
      </w:r>
      <w:r w:rsidRPr="002E50F7">
        <w:rPr>
          <w:rFonts w:ascii="Arial" w:hAnsi="Arial" w:cs="Arial"/>
          <w:sz w:val="24"/>
          <w:szCs w:val="24"/>
        </w:rPr>
        <w:t xml:space="preserve">f an EDC does not offer space heating or water heating equipment programs as part of its EE&amp;C </w:t>
      </w:r>
      <w:r w:rsidR="00286093">
        <w:rPr>
          <w:rFonts w:ascii="Arial" w:hAnsi="Arial" w:cs="Arial"/>
          <w:sz w:val="24"/>
          <w:szCs w:val="24"/>
        </w:rPr>
        <w:t>p</w:t>
      </w:r>
      <w:r w:rsidRPr="002E50F7">
        <w:rPr>
          <w:rFonts w:ascii="Arial" w:hAnsi="Arial" w:cs="Arial"/>
          <w:sz w:val="24"/>
          <w:szCs w:val="24"/>
        </w:rPr>
        <w:t>lan th</w:t>
      </w:r>
      <w:r w:rsidR="00545C9C">
        <w:rPr>
          <w:rFonts w:ascii="Arial" w:hAnsi="Arial" w:cs="Arial"/>
          <w:sz w:val="24"/>
          <w:szCs w:val="24"/>
        </w:rPr>
        <w:t>e</w:t>
      </w:r>
      <w:r w:rsidRPr="002E50F7">
        <w:rPr>
          <w:rFonts w:ascii="Arial" w:hAnsi="Arial" w:cs="Arial"/>
          <w:sz w:val="24"/>
          <w:szCs w:val="24"/>
        </w:rPr>
        <w:t xml:space="preserve">n it should not be required to offer an equivalent fuel switching program. </w:t>
      </w:r>
      <w:r w:rsidR="009A5C33">
        <w:rPr>
          <w:rFonts w:ascii="Arial" w:hAnsi="Arial" w:cs="Arial"/>
          <w:sz w:val="24"/>
          <w:szCs w:val="24"/>
        </w:rPr>
        <w:t xml:space="preserve"> </w:t>
      </w:r>
      <w:r w:rsidRPr="002E50F7">
        <w:rPr>
          <w:rFonts w:ascii="Arial" w:hAnsi="Arial" w:cs="Arial"/>
          <w:sz w:val="24"/>
          <w:szCs w:val="24"/>
        </w:rPr>
        <w:t xml:space="preserve">This methodology </w:t>
      </w:r>
      <w:r w:rsidR="00545C9C">
        <w:rPr>
          <w:rFonts w:ascii="Arial" w:hAnsi="Arial" w:cs="Arial"/>
          <w:sz w:val="24"/>
          <w:szCs w:val="24"/>
        </w:rPr>
        <w:t>would</w:t>
      </w:r>
      <w:r w:rsidRPr="002E50F7">
        <w:rPr>
          <w:rFonts w:ascii="Arial" w:hAnsi="Arial" w:cs="Arial"/>
          <w:sz w:val="24"/>
          <w:szCs w:val="24"/>
        </w:rPr>
        <w:t xml:space="preserve"> provide ratepayer</w:t>
      </w:r>
      <w:r w:rsidR="00545C9C">
        <w:rPr>
          <w:rFonts w:ascii="Arial" w:hAnsi="Arial" w:cs="Arial"/>
          <w:sz w:val="24"/>
          <w:szCs w:val="24"/>
        </w:rPr>
        <w:t>s</w:t>
      </w:r>
      <w:r w:rsidRPr="002E50F7">
        <w:rPr>
          <w:rFonts w:ascii="Arial" w:hAnsi="Arial" w:cs="Arial"/>
          <w:sz w:val="24"/>
          <w:szCs w:val="24"/>
        </w:rPr>
        <w:t xml:space="preserve"> with an opportunity to evaluate their specific situation and determine which energy source best meets their needs while at the same time reducing electricity consumption and demand. </w:t>
      </w:r>
      <w:r w:rsidR="00EF2C65">
        <w:rPr>
          <w:rFonts w:ascii="Arial" w:hAnsi="Arial" w:cs="Arial"/>
          <w:sz w:val="24"/>
          <w:szCs w:val="24"/>
        </w:rPr>
        <w:t xml:space="preserve"> </w:t>
      </w:r>
      <w:r w:rsidRPr="002E50F7">
        <w:rPr>
          <w:rFonts w:ascii="Arial" w:hAnsi="Arial" w:cs="Arial"/>
          <w:sz w:val="24"/>
          <w:szCs w:val="24"/>
        </w:rPr>
        <w:t>(</w:t>
      </w:r>
      <w:r w:rsidR="00786311">
        <w:rPr>
          <w:rFonts w:ascii="Arial" w:hAnsi="Arial" w:cs="Arial"/>
          <w:sz w:val="24"/>
          <w:szCs w:val="24"/>
        </w:rPr>
        <w:t xml:space="preserve">SEF </w:t>
      </w:r>
      <w:r w:rsidR="00974B97">
        <w:rPr>
          <w:rFonts w:ascii="Arial" w:hAnsi="Arial" w:cs="Arial"/>
          <w:sz w:val="24"/>
          <w:szCs w:val="24"/>
        </w:rPr>
        <w:t>Reply Comments</w:t>
      </w:r>
      <w:r w:rsidRPr="002E50F7">
        <w:rPr>
          <w:rFonts w:ascii="Arial" w:hAnsi="Arial" w:cs="Arial"/>
          <w:sz w:val="24"/>
          <w:szCs w:val="24"/>
        </w:rPr>
        <w:t xml:space="preserve"> at 3</w:t>
      </w:r>
      <w:r w:rsidR="00EF2C65">
        <w:rPr>
          <w:rFonts w:ascii="Arial" w:hAnsi="Arial" w:cs="Arial"/>
          <w:sz w:val="24"/>
          <w:szCs w:val="24"/>
        </w:rPr>
        <w:t>.</w:t>
      </w:r>
      <w:r w:rsidRPr="002E50F7">
        <w:rPr>
          <w:rFonts w:ascii="Arial" w:hAnsi="Arial" w:cs="Arial"/>
          <w:sz w:val="24"/>
          <w:szCs w:val="24"/>
        </w:rPr>
        <w:t>)</w:t>
      </w:r>
    </w:p>
    <w:p w:rsidR="001A04DD" w:rsidRDefault="001A04DD" w:rsidP="001848DE">
      <w:pPr>
        <w:spacing w:after="0" w:line="360" w:lineRule="auto"/>
        <w:ind w:left="20" w:firstLine="700"/>
        <w:rPr>
          <w:rFonts w:ascii="Arial" w:hAnsi="Arial" w:cs="Arial"/>
          <w:sz w:val="24"/>
          <w:szCs w:val="24"/>
        </w:rPr>
      </w:pPr>
    </w:p>
    <w:p w:rsidR="001A04DD" w:rsidRPr="00282F3D" w:rsidRDefault="001A04DD" w:rsidP="001848DE">
      <w:pPr>
        <w:spacing w:after="0" w:line="360" w:lineRule="auto"/>
        <w:ind w:left="20" w:firstLine="288"/>
        <w:rPr>
          <w:rFonts w:ascii="Arial" w:hAnsi="Arial" w:cs="Arial"/>
          <w:sz w:val="24"/>
          <w:szCs w:val="24"/>
          <w:u w:val="single"/>
        </w:rPr>
      </w:pPr>
      <w:r w:rsidRPr="00282F3D">
        <w:rPr>
          <w:rFonts w:ascii="Arial" w:hAnsi="Arial" w:cs="Arial"/>
          <w:sz w:val="24"/>
          <w:szCs w:val="24"/>
          <w:u w:val="single"/>
        </w:rPr>
        <w:t>Staff Recommendation</w:t>
      </w:r>
    </w:p>
    <w:p w:rsidR="001A04DD" w:rsidRDefault="001A04DD" w:rsidP="001848DE">
      <w:pPr>
        <w:spacing w:after="0" w:line="360" w:lineRule="auto"/>
        <w:ind w:left="20" w:firstLine="700"/>
        <w:rPr>
          <w:rFonts w:ascii="Arial" w:hAnsi="Arial" w:cs="Arial"/>
          <w:sz w:val="24"/>
          <w:szCs w:val="24"/>
        </w:rPr>
      </w:pPr>
    </w:p>
    <w:p w:rsidR="005C1669" w:rsidRPr="00C21904" w:rsidRDefault="00B255ED" w:rsidP="001848DE">
      <w:pPr>
        <w:spacing w:after="0" w:line="360" w:lineRule="auto"/>
        <w:ind w:left="20" w:firstLine="700"/>
        <w:rPr>
          <w:rFonts w:ascii="Arial" w:hAnsi="Arial" w:cs="Arial"/>
          <w:sz w:val="24"/>
          <w:szCs w:val="24"/>
        </w:rPr>
      </w:pPr>
      <w:r w:rsidRPr="00C21904">
        <w:rPr>
          <w:rFonts w:ascii="Arial" w:hAnsi="Arial" w:cs="Arial"/>
          <w:sz w:val="24"/>
          <w:szCs w:val="24"/>
        </w:rPr>
        <w:t xml:space="preserve">Staff agrees with FirstEnergy and PPL that the consideration of fuel switching programs must be </w:t>
      </w:r>
      <w:r w:rsidR="007121FB" w:rsidRPr="00C21904">
        <w:rPr>
          <w:rFonts w:ascii="Arial" w:hAnsi="Arial" w:cs="Arial"/>
          <w:sz w:val="24"/>
          <w:szCs w:val="24"/>
        </w:rPr>
        <w:t xml:space="preserve">fuel neutral.  </w:t>
      </w:r>
      <w:r w:rsidR="00AF19E3" w:rsidRPr="00C21904">
        <w:rPr>
          <w:rFonts w:ascii="Arial" w:hAnsi="Arial" w:cs="Arial"/>
          <w:sz w:val="24"/>
          <w:szCs w:val="24"/>
        </w:rPr>
        <w:t>Staff recommends that</w:t>
      </w:r>
      <w:r w:rsidR="007121FB" w:rsidRPr="00C21904">
        <w:rPr>
          <w:rFonts w:ascii="Arial" w:hAnsi="Arial" w:cs="Arial"/>
          <w:sz w:val="24"/>
          <w:szCs w:val="24"/>
        </w:rPr>
        <w:t xml:space="preserve"> any fuel switching program that passes a cost</w:t>
      </w:r>
      <w:r w:rsidR="00EF2C65" w:rsidRPr="00C21904">
        <w:rPr>
          <w:rFonts w:ascii="Arial" w:hAnsi="Arial" w:cs="Arial"/>
          <w:sz w:val="24"/>
          <w:szCs w:val="24"/>
        </w:rPr>
        <w:noBreakHyphen/>
      </w:r>
      <w:r w:rsidR="007121FB" w:rsidRPr="00C21904">
        <w:rPr>
          <w:rFonts w:ascii="Arial" w:hAnsi="Arial" w:cs="Arial"/>
          <w:sz w:val="24"/>
          <w:szCs w:val="24"/>
        </w:rPr>
        <w:t xml:space="preserve">effectiveness test </w:t>
      </w:r>
      <w:r w:rsidR="00EF2C65" w:rsidRPr="00C21904">
        <w:rPr>
          <w:rFonts w:ascii="Arial" w:hAnsi="Arial" w:cs="Arial"/>
          <w:sz w:val="24"/>
          <w:szCs w:val="24"/>
        </w:rPr>
        <w:t xml:space="preserve">and assists the EDC in meeting its consumption and demand reduction targets </w:t>
      </w:r>
      <w:r w:rsidR="007121FB" w:rsidRPr="00C21904">
        <w:rPr>
          <w:rFonts w:ascii="Arial" w:hAnsi="Arial" w:cs="Arial"/>
          <w:sz w:val="24"/>
          <w:szCs w:val="24"/>
        </w:rPr>
        <w:t>sho</w:t>
      </w:r>
      <w:r w:rsidR="00BC025E" w:rsidRPr="00C21904">
        <w:rPr>
          <w:rFonts w:ascii="Arial" w:hAnsi="Arial" w:cs="Arial"/>
          <w:sz w:val="24"/>
          <w:szCs w:val="24"/>
        </w:rPr>
        <w:t xml:space="preserve">uld be allowable within an EDC’s EE&amp;C </w:t>
      </w:r>
      <w:r w:rsidR="00286093">
        <w:rPr>
          <w:rFonts w:ascii="Arial" w:hAnsi="Arial" w:cs="Arial"/>
          <w:sz w:val="24"/>
          <w:szCs w:val="24"/>
        </w:rPr>
        <w:t>p</w:t>
      </w:r>
      <w:r w:rsidR="00BC025E" w:rsidRPr="00C21904">
        <w:rPr>
          <w:rFonts w:ascii="Arial" w:hAnsi="Arial" w:cs="Arial"/>
          <w:sz w:val="24"/>
          <w:szCs w:val="24"/>
        </w:rPr>
        <w:t>lan.</w:t>
      </w:r>
      <w:r w:rsidR="00955BC7" w:rsidRPr="00C21904">
        <w:rPr>
          <w:rFonts w:ascii="Arial" w:hAnsi="Arial" w:cs="Arial"/>
          <w:sz w:val="24"/>
          <w:szCs w:val="24"/>
        </w:rPr>
        <w:t xml:space="preserve">  </w:t>
      </w:r>
      <w:r w:rsidR="00243EE2" w:rsidRPr="00C21904">
        <w:rPr>
          <w:rFonts w:ascii="Arial" w:hAnsi="Arial" w:cs="Arial"/>
          <w:sz w:val="24"/>
          <w:szCs w:val="24"/>
        </w:rPr>
        <w:t>Therefore</w:t>
      </w:r>
      <w:r w:rsidR="00C37266" w:rsidRPr="00C21904">
        <w:rPr>
          <w:rFonts w:ascii="Arial" w:hAnsi="Arial" w:cs="Arial"/>
          <w:sz w:val="24"/>
          <w:szCs w:val="24"/>
        </w:rPr>
        <w:t xml:space="preserve">, proposed fuel switching programs, regardless of fuel type, should be developed through the EDC stakeholder process and presented for Commission approval through the processes set forth in the </w:t>
      </w:r>
      <w:r w:rsidR="00C37266" w:rsidRPr="00C21904">
        <w:rPr>
          <w:rFonts w:ascii="Arial" w:hAnsi="Arial" w:cs="Arial"/>
          <w:i/>
          <w:sz w:val="24"/>
          <w:szCs w:val="24"/>
        </w:rPr>
        <w:t>Implementation Order</w:t>
      </w:r>
      <w:r w:rsidR="00C37266" w:rsidRPr="00C21904">
        <w:rPr>
          <w:rFonts w:ascii="Arial" w:hAnsi="Arial" w:cs="Arial"/>
          <w:sz w:val="24"/>
          <w:szCs w:val="24"/>
        </w:rPr>
        <w:t>.</w:t>
      </w:r>
    </w:p>
    <w:p w:rsidR="005C1669" w:rsidRDefault="005C1669" w:rsidP="00786311">
      <w:pPr>
        <w:spacing w:after="0" w:line="360" w:lineRule="auto"/>
        <w:ind w:left="20" w:firstLine="700"/>
        <w:rPr>
          <w:rFonts w:ascii="Arial" w:hAnsi="Arial" w:cs="Arial"/>
          <w:sz w:val="24"/>
          <w:szCs w:val="24"/>
        </w:rPr>
      </w:pPr>
    </w:p>
    <w:p w:rsidR="005412B5" w:rsidRPr="002E50F7" w:rsidRDefault="005412B5" w:rsidP="00786311">
      <w:pPr>
        <w:spacing w:after="0" w:line="360" w:lineRule="auto"/>
        <w:ind w:left="20" w:firstLine="700"/>
        <w:rPr>
          <w:rFonts w:ascii="Arial" w:hAnsi="Arial" w:cs="Arial"/>
          <w:sz w:val="24"/>
          <w:szCs w:val="24"/>
        </w:rPr>
      </w:pPr>
    </w:p>
    <w:bookmarkEnd w:id="19"/>
    <w:p w:rsidR="005B539C" w:rsidRDefault="005B539C">
      <w:pPr>
        <w:spacing w:after="0" w:line="240" w:lineRule="auto"/>
        <w:rPr>
          <w:rFonts w:ascii="Arial" w:hAnsi="Arial" w:cs="Arial"/>
          <w:b/>
          <w:sz w:val="32"/>
          <w:szCs w:val="24"/>
        </w:rPr>
      </w:pPr>
      <w:r>
        <w:rPr>
          <w:rFonts w:ascii="Arial" w:hAnsi="Arial" w:cs="Arial"/>
          <w:b/>
          <w:sz w:val="32"/>
          <w:szCs w:val="24"/>
        </w:rPr>
        <w:br w:type="page"/>
      </w:r>
    </w:p>
    <w:p w:rsidR="00920706" w:rsidRPr="00F00987" w:rsidRDefault="00920706" w:rsidP="00572F60">
      <w:pPr>
        <w:pStyle w:val="Heading1"/>
        <w:rPr>
          <w:rFonts w:ascii="Arial" w:hAnsi="Arial" w:cs="Arial"/>
          <w:b w:val="0"/>
          <w:szCs w:val="24"/>
        </w:rPr>
      </w:pPr>
      <w:bookmarkStart w:id="22" w:name="_Toc260316384"/>
      <w:r w:rsidRPr="00F00987">
        <w:rPr>
          <w:rFonts w:ascii="Arial" w:hAnsi="Arial" w:cs="Arial"/>
          <w:szCs w:val="24"/>
        </w:rPr>
        <w:lastRenderedPageBreak/>
        <w:t>Conclusion</w:t>
      </w:r>
      <w:bookmarkEnd w:id="22"/>
    </w:p>
    <w:p w:rsidR="00920706" w:rsidRPr="002E50F7" w:rsidRDefault="00920706" w:rsidP="002E50F7">
      <w:pPr>
        <w:spacing w:after="0" w:line="360" w:lineRule="auto"/>
        <w:rPr>
          <w:rFonts w:ascii="Arial" w:hAnsi="Arial" w:cs="Arial"/>
          <w:b/>
          <w:sz w:val="24"/>
          <w:szCs w:val="24"/>
        </w:rPr>
      </w:pPr>
    </w:p>
    <w:p w:rsidR="00C21904" w:rsidRPr="00C21904" w:rsidRDefault="00920706" w:rsidP="00920706">
      <w:pPr>
        <w:spacing w:after="0" w:line="360" w:lineRule="auto"/>
        <w:rPr>
          <w:rFonts w:ascii="Arial" w:hAnsi="Arial" w:cs="Arial"/>
          <w:sz w:val="24"/>
          <w:szCs w:val="24"/>
        </w:rPr>
      </w:pPr>
      <w:r w:rsidRPr="00F00987">
        <w:rPr>
          <w:rFonts w:ascii="Arial" w:hAnsi="Arial" w:cs="Arial"/>
          <w:b/>
          <w:sz w:val="32"/>
          <w:szCs w:val="24"/>
        </w:rPr>
        <w:tab/>
      </w:r>
      <w:r w:rsidR="009E1DBC">
        <w:rPr>
          <w:rFonts w:ascii="Arial" w:hAnsi="Arial" w:cs="Arial"/>
          <w:sz w:val="24"/>
          <w:szCs w:val="24"/>
        </w:rPr>
        <w:t xml:space="preserve">While the Fuel Switching Working Group did not reach consensus on the issues raised, it none the less </w:t>
      </w:r>
      <w:r w:rsidRPr="00C21904">
        <w:rPr>
          <w:rFonts w:ascii="Arial" w:hAnsi="Arial" w:cs="Arial"/>
          <w:sz w:val="24"/>
          <w:szCs w:val="24"/>
        </w:rPr>
        <w:t xml:space="preserve">recommends that the Commission </w:t>
      </w:r>
      <w:r w:rsidR="00097AFA" w:rsidRPr="00C21904">
        <w:rPr>
          <w:rFonts w:ascii="Arial" w:hAnsi="Arial" w:cs="Arial"/>
          <w:sz w:val="24"/>
          <w:szCs w:val="24"/>
        </w:rPr>
        <w:t>r</w:t>
      </w:r>
      <w:r w:rsidR="00714191" w:rsidRPr="00C21904">
        <w:rPr>
          <w:rFonts w:ascii="Arial" w:hAnsi="Arial" w:cs="Arial"/>
          <w:sz w:val="24"/>
          <w:szCs w:val="24"/>
        </w:rPr>
        <w:t xml:space="preserve">elease this Report and adopt, reject, modify or add to the </w:t>
      </w:r>
      <w:r w:rsidR="00F032CD" w:rsidRPr="00C21904">
        <w:rPr>
          <w:rFonts w:ascii="Arial" w:hAnsi="Arial" w:cs="Arial"/>
          <w:sz w:val="24"/>
          <w:szCs w:val="24"/>
        </w:rPr>
        <w:t>Staff’s</w:t>
      </w:r>
      <w:r w:rsidR="00714191" w:rsidRPr="00C21904">
        <w:rPr>
          <w:rFonts w:ascii="Arial" w:hAnsi="Arial" w:cs="Arial"/>
          <w:sz w:val="24"/>
          <w:szCs w:val="24"/>
        </w:rPr>
        <w:t xml:space="preserve"> recommendations contained in </w:t>
      </w:r>
      <w:r w:rsidR="009E1DBC" w:rsidRPr="00C21904">
        <w:rPr>
          <w:rFonts w:ascii="Arial" w:hAnsi="Arial" w:cs="Arial"/>
          <w:sz w:val="24"/>
          <w:szCs w:val="24"/>
        </w:rPr>
        <w:t>it</w:t>
      </w:r>
      <w:r w:rsidR="00714191" w:rsidRPr="00C21904">
        <w:rPr>
          <w:rFonts w:ascii="Arial" w:hAnsi="Arial" w:cs="Arial"/>
          <w:sz w:val="24"/>
          <w:szCs w:val="24"/>
        </w:rPr>
        <w:t xml:space="preserve">.  </w:t>
      </w:r>
      <w:r w:rsidR="00882336" w:rsidRPr="00C21904">
        <w:rPr>
          <w:rFonts w:ascii="Arial" w:hAnsi="Arial" w:cs="Arial"/>
          <w:sz w:val="24"/>
          <w:szCs w:val="24"/>
        </w:rPr>
        <w:t xml:space="preserve">In addition, the Working Group recommends that the Commission </w:t>
      </w:r>
      <w:r w:rsidR="00097AFA" w:rsidRPr="00C21904">
        <w:rPr>
          <w:rFonts w:ascii="Arial" w:hAnsi="Arial" w:cs="Arial"/>
          <w:sz w:val="24"/>
          <w:szCs w:val="24"/>
        </w:rPr>
        <w:t xml:space="preserve">direct the Bureau of Conservation, Economics and Energy Planning to </w:t>
      </w:r>
      <w:r w:rsidR="0015781E" w:rsidRPr="00C21904">
        <w:rPr>
          <w:rFonts w:ascii="Arial" w:hAnsi="Arial" w:cs="Arial"/>
          <w:sz w:val="24"/>
          <w:szCs w:val="24"/>
        </w:rPr>
        <w:t xml:space="preserve">develop </w:t>
      </w:r>
      <w:r w:rsidR="00882336" w:rsidRPr="00C21904">
        <w:rPr>
          <w:rFonts w:ascii="Arial" w:hAnsi="Arial" w:cs="Arial"/>
          <w:sz w:val="24"/>
          <w:szCs w:val="24"/>
        </w:rPr>
        <w:t xml:space="preserve">deemed </w:t>
      </w:r>
      <w:r w:rsidR="0015781E" w:rsidRPr="00C21904">
        <w:rPr>
          <w:rFonts w:ascii="Arial" w:hAnsi="Arial" w:cs="Arial"/>
          <w:sz w:val="24"/>
          <w:szCs w:val="24"/>
        </w:rPr>
        <w:t xml:space="preserve">evaluation, measurement and verification protocols for </w:t>
      </w:r>
      <w:r w:rsidR="00882336" w:rsidRPr="00C21904">
        <w:rPr>
          <w:rFonts w:ascii="Arial" w:hAnsi="Arial" w:cs="Arial"/>
          <w:sz w:val="24"/>
          <w:szCs w:val="24"/>
        </w:rPr>
        <w:t xml:space="preserve">specific </w:t>
      </w:r>
      <w:r w:rsidR="0015781E" w:rsidRPr="00C21904">
        <w:rPr>
          <w:rFonts w:ascii="Arial" w:hAnsi="Arial" w:cs="Arial"/>
          <w:sz w:val="24"/>
          <w:szCs w:val="24"/>
        </w:rPr>
        <w:t>energy efficiency measures that involve switching from electricity to another fuel source</w:t>
      </w:r>
      <w:r w:rsidR="00882336" w:rsidRPr="00C21904">
        <w:rPr>
          <w:rFonts w:ascii="Arial" w:hAnsi="Arial" w:cs="Arial"/>
          <w:sz w:val="24"/>
          <w:szCs w:val="24"/>
        </w:rPr>
        <w:t xml:space="preserve">, </w:t>
      </w:r>
      <w:r w:rsidR="003900D1" w:rsidRPr="00C21904">
        <w:rPr>
          <w:rFonts w:ascii="Arial" w:hAnsi="Arial" w:cs="Arial"/>
          <w:sz w:val="24"/>
          <w:szCs w:val="24"/>
        </w:rPr>
        <w:t xml:space="preserve">to be considered </w:t>
      </w:r>
      <w:r w:rsidR="00882336" w:rsidRPr="00C21904">
        <w:rPr>
          <w:rFonts w:ascii="Arial" w:hAnsi="Arial" w:cs="Arial"/>
          <w:sz w:val="24"/>
          <w:szCs w:val="24"/>
        </w:rPr>
        <w:t>for inclusion in the Technical Reference Manual</w:t>
      </w:r>
      <w:r w:rsidR="0015781E" w:rsidRPr="00C21904">
        <w:rPr>
          <w:rFonts w:ascii="Arial" w:hAnsi="Arial" w:cs="Arial"/>
          <w:sz w:val="24"/>
          <w:szCs w:val="24"/>
        </w:rPr>
        <w:t xml:space="preserve">.  The Bureau of Conservation, Economics and Energy Planning is to develop these protocols in conjunction with the Statewide Evaluator and </w:t>
      </w:r>
      <w:r w:rsidR="00E033A1" w:rsidRPr="00C21904">
        <w:rPr>
          <w:rFonts w:ascii="Arial" w:hAnsi="Arial" w:cs="Arial"/>
          <w:sz w:val="24"/>
          <w:szCs w:val="24"/>
        </w:rPr>
        <w:t xml:space="preserve">through the annual Technical Reference Manual revision process.  </w:t>
      </w:r>
    </w:p>
    <w:p w:rsidR="00C21904" w:rsidRPr="00C21904" w:rsidRDefault="00C21904" w:rsidP="00920706">
      <w:pPr>
        <w:spacing w:after="0" w:line="360" w:lineRule="auto"/>
        <w:rPr>
          <w:rFonts w:ascii="Arial" w:hAnsi="Arial" w:cs="Arial"/>
          <w:sz w:val="24"/>
          <w:szCs w:val="24"/>
        </w:rPr>
      </w:pPr>
    </w:p>
    <w:p w:rsidR="006A5587" w:rsidRPr="00C21904" w:rsidRDefault="00E033A1" w:rsidP="00C21904">
      <w:pPr>
        <w:spacing w:after="0" w:line="360" w:lineRule="auto"/>
        <w:ind w:firstLine="720"/>
      </w:pPr>
      <w:r w:rsidRPr="00C21904">
        <w:rPr>
          <w:rFonts w:ascii="Arial" w:hAnsi="Arial" w:cs="Arial"/>
          <w:sz w:val="24"/>
          <w:szCs w:val="24"/>
        </w:rPr>
        <w:t>Furthermore, the Working Group recommends that the Commission direct the Bureau of Conservation, Economics and Energy Planning to develop</w:t>
      </w:r>
      <w:r w:rsidR="003900D1" w:rsidRPr="00C21904">
        <w:rPr>
          <w:rFonts w:ascii="Arial" w:hAnsi="Arial" w:cs="Arial"/>
          <w:sz w:val="24"/>
          <w:szCs w:val="24"/>
        </w:rPr>
        <w:t>, for Commission review,</w:t>
      </w:r>
      <w:r w:rsidR="00E35A7F" w:rsidRPr="00C21904">
        <w:rPr>
          <w:rFonts w:ascii="Arial" w:hAnsi="Arial" w:cs="Arial"/>
          <w:sz w:val="24"/>
          <w:szCs w:val="24"/>
        </w:rPr>
        <w:t xml:space="preserve"> </w:t>
      </w:r>
      <w:r w:rsidR="003900D1" w:rsidRPr="00C21904">
        <w:rPr>
          <w:rFonts w:ascii="Arial" w:hAnsi="Arial" w:cs="Arial"/>
          <w:sz w:val="24"/>
          <w:szCs w:val="24"/>
        </w:rPr>
        <w:t>recommended changes to the Total Resource Cost Test needed to appropriately analyze the costs and benefits of energy efficiency measures that involve switching from electricity to another fuel source.  The Bureau of</w:t>
      </w:r>
      <w:r w:rsidR="00FF5DF0" w:rsidRPr="00C21904">
        <w:rPr>
          <w:rFonts w:ascii="Arial" w:hAnsi="Arial" w:cs="Arial"/>
          <w:sz w:val="24"/>
          <w:szCs w:val="24"/>
        </w:rPr>
        <w:t xml:space="preserve"> Conservation, Economics and Energy Planning is to develop these recommended changes to the Total Resource Cost Test</w:t>
      </w:r>
      <w:r w:rsidR="003900D1" w:rsidRPr="00C21904">
        <w:rPr>
          <w:rFonts w:ascii="Arial" w:hAnsi="Arial" w:cs="Arial"/>
          <w:sz w:val="24"/>
          <w:szCs w:val="24"/>
        </w:rPr>
        <w:t xml:space="preserve"> </w:t>
      </w:r>
      <w:r w:rsidR="00E35A7F" w:rsidRPr="00C21904">
        <w:rPr>
          <w:rFonts w:ascii="Arial" w:hAnsi="Arial" w:cs="Arial"/>
          <w:sz w:val="24"/>
          <w:szCs w:val="24"/>
        </w:rPr>
        <w:t>in conjunction with the Statewide Evaluator and the Total Resource Cost Test Working Group</w:t>
      </w:r>
      <w:r w:rsidR="00FF5DF0" w:rsidRPr="00C21904">
        <w:rPr>
          <w:rFonts w:ascii="Arial" w:hAnsi="Arial" w:cs="Arial"/>
          <w:sz w:val="24"/>
          <w:szCs w:val="24"/>
        </w:rPr>
        <w:t>.</w:t>
      </w:r>
      <w:r w:rsidRPr="00C21904">
        <w:rPr>
          <w:rFonts w:ascii="Arial" w:hAnsi="Arial" w:cs="Arial"/>
          <w:sz w:val="24"/>
          <w:szCs w:val="24"/>
        </w:rPr>
        <w:t xml:space="preserve"> </w:t>
      </w:r>
    </w:p>
    <w:sectPr w:rsidR="006A5587" w:rsidRPr="00C21904" w:rsidSect="00122CD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98B" w:rsidRDefault="00B6698B" w:rsidP="00920706">
      <w:pPr>
        <w:spacing w:after="0" w:line="240" w:lineRule="auto"/>
      </w:pPr>
      <w:r>
        <w:separator/>
      </w:r>
    </w:p>
  </w:endnote>
  <w:endnote w:type="continuationSeparator" w:id="0">
    <w:p w:rsidR="00B6698B" w:rsidRDefault="00B6698B" w:rsidP="00920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06" w:rsidRDefault="00122CDD">
    <w:pPr>
      <w:pStyle w:val="Footer"/>
      <w:jc w:val="center"/>
    </w:pPr>
    <w: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DD" w:rsidRDefault="00685BBA">
    <w:pPr>
      <w:pStyle w:val="Footer"/>
      <w:jc w:val="center"/>
    </w:pPr>
    <w:fldSimple w:instr=" PAGE   \* MERGEFORMAT ">
      <w:r w:rsidR="00653D09">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98B" w:rsidRDefault="00B6698B" w:rsidP="00920706">
      <w:pPr>
        <w:spacing w:after="0" w:line="240" w:lineRule="auto"/>
      </w:pPr>
      <w:r>
        <w:separator/>
      </w:r>
    </w:p>
  </w:footnote>
  <w:footnote w:type="continuationSeparator" w:id="0">
    <w:p w:rsidR="00B6698B" w:rsidRDefault="00B6698B" w:rsidP="00920706">
      <w:pPr>
        <w:spacing w:after="0" w:line="240" w:lineRule="auto"/>
      </w:pPr>
      <w:r>
        <w:continuationSeparator/>
      </w:r>
    </w:p>
  </w:footnote>
  <w:footnote w:id="1">
    <w:p w:rsidR="00844B9E" w:rsidRDefault="00844B9E" w:rsidP="00844B9E">
      <w:pPr>
        <w:pStyle w:val="FootnoteText"/>
        <w:spacing w:after="0"/>
        <w:rPr>
          <w:rFonts w:ascii="Arial" w:hAnsi="Arial" w:cs="Arial"/>
          <w:sz w:val="22"/>
          <w:szCs w:val="22"/>
        </w:rPr>
      </w:pPr>
      <w:r w:rsidRPr="000B74D7">
        <w:rPr>
          <w:rStyle w:val="FootnoteReference"/>
          <w:rFonts w:ascii="Arial" w:hAnsi="Arial" w:cs="Arial"/>
          <w:sz w:val="22"/>
          <w:szCs w:val="22"/>
        </w:rPr>
        <w:footnoteRef/>
      </w:r>
      <w:r w:rsidRPr="000B74D7">
        <w:rPr>
          <w:rFonts w:ascii="Arial" w:hAnsi="Arial" w:cs="Arial"/>
          <w:sz w:val="22"/>
          <w:szCs w:val="22"/>
        </w:rPr>
        <w:t xml:space="preserve"> </w:t>
      </w:r>
      <w:r w:rsidRPr="000B74D7">
        <w:rPr>
          <w:rFonts w:ascii="Arial" w:hAnsi="Arial" w:cs="Arial"/>
          <w:i/>
          <w:sz w:val="22"/>
          <w:szCs w:val="22"/>
        </w:rPr>
        <w:t>Petition of West Penn Power Company d/b/a Allegheny Power for Approval of its Energy Efficiency and Conservation Plan</w:t>
      </w:r>
      <w:r w:rsidRPr="000B74D7">
        <w:rPr>
          <w:rFonts w:ascii="Arial" w:hAnsi="Arial" w:cs="Arial"/>
          <w:sz w:val="22"/>
          <w:szCs w:val="22"/>
        </w:rPr>
        <w:t xml:space="preserve">, Order entered October 23, 2009 at Docket No. M-2009-2093218; </w:t>
      </w:r>
      <w:r w:rsidRPr="000B74D7">
        <w:rPr>
          <w:rFonts w:ascii="Arial" w:hAnsi="Arial" w:cs="Arial"/>
          <w:i/>
          <w:color w:val="000000"/>
          <w:sz w:val="22"/>
          <w:szCs w:val="22"/>
        </w:rPr>
        <w:t>Petition of PPL</w:t>
      </w:r>
      <w:r>
        <w:rPr>
          <w:rFonts w:ascii="Arial" w:hAnsi="Arial" w:cs="Arial"/>
          <w:i/>
          <w:color w:val="000000"/>
          <w:sz w:val="22"/>
          <w:szCs w:val="22"/>
        </w:rPr>
        <w:t xml:space="preserve"> Electric Utilities Corporation </w:t>
      </w:r>
      <w:r w:rsidRPr="000B74D7">
        <w:rPr>
          <w:rFonts w:ascii="Arial" w:hAnsi="Arial" w:cs="Arial"/>
          <w:i/>
          <w:color w:val="000000"/>
          <w:sz w:val="22"/>
          <w:szCs w:val="22"/>
        </w:rPr>
        <w:t>for Approval of its Energy Efficiency and Conservation Plan</w:t>
      </w:r>
      <w:r w:rsidRPr="000B74D7">
        <w:rPr>
          <w:rFonts w:ascii="Arial" w:hAnsi="Arial" w:cs="Arial"/>
          <w:color w:val="000000"/>
          <w:sz w:val="22"/>
          <w:szCs w:val="22"/>
        </w:rPr>
        <w:t xml:space="preserve">, Order entered October 26, 2009 at Docket No. M-2009-2093216; </w:t>
      </w:r>
      <w:r w:rsidRPr="000B74D7">
        <w:rPr>
          <w:rFonts w:ascii="Arial" w:hAnsi="Arial" w:cs="Arial"/>
          <w:i/>
          <w:sz w:val="22"/>
          <w:szCs w:val="22"/>
        </w:rPr>
        <w:t>Petition of Duquesne Light Company for Approval of its Energy Efficiency and Conservation and Demand Response Plan</w:t>
      </w:r>
      <w:r w:rsidRPr="000B74D7">
        <w:rPr>
          <w:rFonts w:ascii="Arial" w:hAnsi="Arial" w:cs="Arial"/>
          <w:sz w:val="22"/>
          <w:szCs w:val="22"/>
        </w:rPr>
        <w:t xml:space="preserve">, Order entered October 27, 2009 at Docket No. M-2009-2093217; </w:t>
      </w:r>
      <w:r w:rsidRPr="000B74D7">
        <w:rPr>
          <w:rFonts w:ascii="Arial" w:hAnsi="Arial" w:cs="Arial"/>
          <w:i/>
          <w:sz w:val="22"/>
          <w:szCs w:val="22"/>
        </w:rPr>
        <w:t>Joint Petition of Metropolitan Edison Company, Pennsylvania Electric Company and Pennsylvania Power Company for Consolidation of Proceedings and Approval of  Energy Efficiency and Conservation Plans</w:t>
      </w:r>
      <w:r>
        <w:rPr>
          <w:rFonts w:ascii="Arial" w:hAnsi="Arial" w:cs="Arial"/>
          <w:i/>
          <w:sz w:val="22"/>
          <w:szCs w:val="22"/>
        </w:rPr>
        <w:t xml:space="preserve">, </w:t>
      </w:r>
      <w:r w:rsidRPr="000B74D7">
        <w:rPr>
          <w:rFonts w:ascii="Arial" w:hAnsi="Arial" w:cs="Arial"/>
          <w:sz w:val="22"/>
          <w:szCs w:val="22"/>
        </w:rPr>
        <w:t xml:space="preserve">Order entered October 28, 2009 at Docket No. M- 2009-2092222, M-2009-2112952 and M-2009-2112956; </w:t>
      </w:r>
      <w:r w:rsidRPr="000B74D7">
        <w:rPr>
          <w:rFonts w:ascii="Arial" w:hAnsi="Arial" w:cs="Arial"/>
          <w:i/>
          <w:sz w:val="22"/>
          <w:szCs w:val="22"/>
        </w:rPr>
        <w:t>Petition of PECO Energy Company for Approval of its Act 129 Energy Efficiency and Conservation Plan and Expedited Approval of its Compact Fluorescent Lamp Program</w:t>
      </w:r>
      <w:r w:rsidRPr="000B74D7">
        <w:rPr>
          <w:rFonts w:ascii="Arial" w:hAnsi="Arial" w:cs="Arial"/>
          <w:sz w:val="22"/>
          <w:szCs w:val="22"/>
        </w:rPr>
        <w:t>, Order entered October 28, 2009 at Docket No. M-2009-2093215 (collectively Orders).</w:t>
      </w:r>
    </w:p>
    <w:p w:rsidR="00844B9E" w:rsidRPr="000B74D7" w:rsidRDefault="00844B9E" w:rsidP="00844B9E">
      <w:pPr>
        <w:pStyle w:val="FootnoteText"/>
        <w:spacing w:after="0"/>
        <w:rPr>
          <w:rFonts w:ascii="Arial" w:hAnsi="Arial" w:cs="Arial"/>
          <w:sz w:val="22"/>
          <w:szCs w:val="22"/>
        </w:rPr>
      </w:pPr>
    </w:p>
  </w:footnote>
  <w:footnote w:id="2">
    <w:p w:rsidR="001727B3" w:rsidRDefault="001727B3" w:rsidP="001727B3">
      <w:pPr>
        <w:pStyle w:val="FootnoteText"/>
      </w:pPr>
      <w:r>
        <w:rPr>
          <w:rStyle w:val="FootnoteReference"/>
        </w:rPr>
        <w:footnoteRef/>
      </w:r>
      <w:r>
        <w:t xml:space="preserve"> This group consists of the Industrial Energy Consumers of Pennsylvania, Central Penn Gas Large Users Group, Columbia Industrial Intervenors, Duquesne Industrial Intervenors, Met</w:t>
      </w:r>
      <w:r>
        <w:noBreakHyphen/>
        <w:t>Ed Industrial Users Group, Penelec Industrial Customer Alliance, Penn Power Users Group, Philadelphia Area Industrial Energy Users Group, Philadelphia Industrial and Commercial Gas Users Group, PNG Industrial Intervenors, PP&amp;L Industrial Customer Alliance, UGI Industrial Intervenors, and West Penn Power Industrial Intervenors.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B5" w:rsidRDefault="005412B5" w:rsidP="005412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28F9"/>
    <w:multiLevelType w:val="hybridMultilevel"/>
    <w:tmpl w:val="33E668A0"/>
    <w:lvl w:ilvl="0" w:tplc="D8C210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D11055"/>
    <w:multiLevelType w:val="hybridMultilevel"/>
    <w:tmpl w:val="F894DB6C"/>
    <w:lvl w:ilvl="0" w:tplc="99748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5E4B49"/>
    <w:multiLevelType w:val="hybridMultilevel"/>
    <w:tmpl w:val="22D6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C5D20"/>
    <w:multiLevelType w:val="hybridMultilevel"/>
    <w:tmpl w:val="9012A706"/>
    <w:lvl w:ilvl="0" w:tplc="A1D85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8066FD"/>
    <w:multiLevelType w:val="multilevel"/>
    <w:tmpl w:val="DA7450B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8B462D1"/>
    <w:multiLevelType w:val="hybridMultilevel"/>
    <w:tmpl w:val="64347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47696F"/>
    <w:multiLevelType w:val="hybridMultilevel"/>
    <w:tmpl w:val="225213FA"/>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7D4E85"/>
    <w:multiLevelType w:val="hybridMultilevel"/>
    <w:tmpl w:val="EFE2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20706"/>
    <w:rsid w:val="00012299"/>
    <w:rsid w:val="000150D3"/>
    <w:rsid w:val="00016B6A"/>
    <w:rsid w:val="00017805"/>
    <w:rsid w:val="00021149"/>
    <w:rsid w:val="000218DC"/>
    <w:rsid w:val="000234EF"/>
    <w:rsid w:val="00023BB3"/>
    <w:rsid w:val="0002429A"/>
    <w:rsid w:val="000275A5"/>
    <w:rsid w:val="00027E64"/>
    <w:rsid w:val="000312D2"/>
    <w:rsid w:val="00031802"/>
    <w:rsid w:val="000337AD"/>
    <w:rsid w:val="0003431C"/>
    <w:rsid w:val="000369A8"/>
    <w:rsid w:val="000432E6"/>
    <w:rsid w:val="00043F04"/>
    <w:rsid w:val="00044FA0"/>
    <w:rsid w:val="00045857"/>
    <w:rsid w:val="0005050D"/>
    <w:rsid w:val="000556BD"/>
    <w:rsid w:val="000575D0"/>
    <w:rsid w:val="00062DAF"/>
    <w:rsid w:val="00064778"/>
    <w:rsid w:val="000701AA"/>
    <w:rsid w:val="0007087C"/>
    <w:rsid w:val="00072585"/>
    <w:rsid w:val="00072742"/>
    <w:rsid w:val="00077887"/>
    <w:rsid w:val="00077FA4"/>
    <w:rsid w:val="0008295D"/>
    <w:rsid w:val="00084841"/>
    <w:rsid w:val="00084E4F"/>
    <w:rsid w:val="00085CED"/>
    <w:rsid w:val="00090DC9"/>
    <w:rsid w:val="00093536"/>
    <w:rsid w:val="00093D9F"/>
    <w:rsid w:val="00097572"/>
    <w:rsid w:val="00097AFA"/>
    <w:rsid w:val="000A28D2"/>
    <w:rsid w:val="000A4484"/>
    <w:rsid w:val="000A5538"/>
    <w:rsid w:val="000B4BAD"/>
    <w:rsid w:val="000B574D"/>
    <w:rsid w:val="000B6997"/>
    <w:rsid w:val="000C0215"/>
    <w:rsid w:val="000C32F0"/>
    <w:rsid w:val="000D651A"/>
    <w:rsid w:val="000E1908"/>
    <w:rsid w:val="000E6D46"/>
    <w:rsid w:val="000F2DBA"/>
    <w:rsid w:val="000F6B27"/>
    <w:rsid w:val="001000BB"/>
    <w:rsid w:val="0010475D"/>
    <w:rsid w:val="001071C4"/>
    <w:rsid w:val="0011044B"/>
    <w:rsid w:val="00111ED7"/>
    <w:rsid w:val="001125C5"/>
    <w:rsid w:val="001178CE"/>
    <w:rsid w:val="00122CDD"/>
    <w:rsid w:val="00141285"/>
    <w:rsid w:val="00143BD1"/>
    <w:rsid w:val="00144ECF"/>
    <w:rsid w:val="001470B2"/>
    <w:rsid w:val="00147396"/>
    <w:rsid w:val="001479B7"/>
    <w:rsid w:val="00154A0F"/>
    <w:rsid w:val="0015781E"/>
    <w:rsid w:val="00162E45"/>
    <w:rsid w:val="00163D45"/>
    <w:rsid w:val="00164152"/>
    <w:rsid w:val="00164A53"/>
    <w:rsid w:val="0016626D"/>
    <w:rsid w:val="001672DB"/>
    <w:rsid w:val="001724BF"/>
    <w:rsid w:val="001727B3"/>
    <w:rsid w:val="0017799E"/>
    <w:rsid w:val="0018348B"/>
    <w:rsid w:val="00183820"/>
    <w:rsid w:val="001848DE"/>
    <w:rsid w:val="00185978"/>
    <w:rsid w:val="00185B0E"/>
    <w:rsid w:val="00186318"/>
    <w:rsid w:val="0019634D"/>
    <w:rsid w:val="001976F0"/>
    <w:rsid w:val="001A04DD"/>
    <w:rsid w:val="001A6413"/>
    <w:rsid w:val="001A7FFE"/>
    <w:rsid w:val="001B1F77"/>
    <w:rsid w:val="001D2385"/>
    <w:rsid w:val="001D3030"/>
    <w:rsid w:val="001D675D"/>
    <w:rsid w:val="001E1E82"/>
    <w:rsid w:val="001E4777"/>
    <w:rsid w:val="001F00D8"/>
    <w:rsid w:val="001F0DB6"/>
    <w:rsid w:val="001F3BF1"/>
    <w:rsid w:val="001F6D8C"/>
    <w:rsid w:val="00204318"/>
    <w:rsid w:val="00205E7F"/>
    <w:rsid w:val="00207A5F"/>
    <w:rsid w:val="00215DE1"/>
    <w:rsid w:val="00222A73"/>
    <w:rsid w:val="002230D1"/>
    <w:rsid w:val="0022412F"/>
    <w:rsid w:val="00235C76"/>
    <w:rsid w:val="002413D9"/>
    <w:rsid w:val="00241AE7"/>
    <w:rsid w:val="002420F0"/>
    <w:rsid w:val="00243EE2"/>
    <w:rsid w:val="002445DC"/>
    <w:rsid w:val="002501DF"/>
    <w:rsid w:val="00250B26"/>
    <w:rsid w:val="002520AE"/>
    <w:rsid w:val="00252A27"/>
    <w:rsid w:val="00253DA5"/>
    <w:rsid w:val="00254E6F"/>
    <w:rsid w:val="00261B0D"/>
    <w:rsid w:val="00262561"/>
    <w:rsid w:val="002652DC"/>
    <w:rsid w:val="002718CE"/>
    <w:rsid w:val="00271F73"/>
    <w:rsid w:val="00272F63"/>
    <w:rsid w:val="00274F34"/>
    <w:rsid w:val="0027614B"/>
    <w:rsid w:val="00280982"/>
    <w:rsid w:val="00281740"/>
    <w:rsid w:val="00282F3D"/>
    <w:rsid w:val="00286093"/>
    <w:rsid w:val="0028631C"/>
    <w:rsid w:val="0028778C"/>
    <w:rsid w:val="00290F50"/>
    <w:rsid w:val="00291599"/>
    <w:rsid w:val="002921E7"/>
    <w:rsid w:val="00295364"/>
    <w:rsid w:val="00295F52"/>
    <w:rsid w:val="002A11AB"/>
    <w:rsid w:val="002B200E"/>
    <w:rsid w:val="002B4F2A"/>
    <w:rsid w:val="002B61EF"/>
    <w:rsid w:val="002C0435"/>
    <w:rsid w:val="002C33ED"/>
    <w:rsid w:val="002D0405"/>
    <w:rsid w:val="002D0D16"/>
    <w:rsid w:val="002D3BC2"/>
    <w:rsid w:val="002D500A"/>
    <w:rsid w:val="002D5B52"/>
    <w:rsid w:val="002D68B9"/>
    <w:rsid w:val="002D6FA9"/>
    <w:rsid w:val="002E07E2"/>
    <w:rsid w:val="002E0B73"/>
    <w:rsid w:val="002E141E"/>
    <w:rsid w:val="002E2523"/>
    <w:rsid w:val="002E50F7"/>
    <w:rsid w:val="002E662B"/>
    <w:rsid w:val="002F268E"/>
    <w:rsid w:val="002F2C68"/>
    <w:rsid w:val="002F2F52"/>
    <w:rsid w:val="002F30A7"/>
    <w:rsid w:val="002F4242"/>
    <w:rsid w:val="002F6539"/>
    <w:rsid w:val="00311807"/>
    <w:rsid w:val="003152EC"/>
    <w:rsid w:val="003158B7"/>
    <w:rsid w:val="00320F24"/>
    <w:rsid w:val="00323742"/>
    <w:rsid w:val="003277FD"/>
    <w:rsid w:val="00327ACB"/>
    <w:rsid w:val="003319CF"/>
    <w:rsid w:val="00344C8C"/>
    <w:rsid w:val="0035422D"/>
    <w:rsid w:val="003565BF"/>
    <w:rsid w:val="00361E25"/>
    <w:rsid w:val="00376D56"/>
    <w:rsid w:val="00382766"/>
    <w:rsid w:val="003856BD"/>
    <w:rsid w:val="003900D1"/>
    <w:rsid w:val="003921B8"/>
    <w:rsid w:val="00394706"/>
    <w:rsid w:val="003A1B36"/>
    <w:rsid w:val="003A4280"/>
    <w:rsid w:val="003B145E"/>
    <w:rsid w:val="003B1FA3"/>
    <w:rsid w:val="003B5B7A"/>
    <w:rsid w:val="003C3906"/>
    <w:rsid w:val="003D0347"/>
    <w:rsid w:val="003D415C"/>
    <w:rsid w:val="003D4820"/>
    <w:rsid w:val="003D7F9F"/>
    <w:rsid w:val="003E6B92"/>
    <w:rsid w:val="003E708C"/>
    <w:rsid w:val="003E741F"/>
    <w:rsid w:val="003E796E"/>
    <w:rsid w:val="003F1C30"/>
    <w:rsid w:val="003F6AC3"/>
    <w:rsid w:val="00406F74"/>
    <w:rsid w:val="00410438"/>
    <w:rsid w:val="0041111C"/>
    <w:rsid w:val="0041154A"/>
    <w:rsid w:val="00413E91"/>
    <w:rsid w:val="004220FB"/>
    <w:rsid w:val="00422475"/>
    <w:rsid w:val="00422A24"/>
    <w:rsid w:val="00424774"/>
    <w:rsid w:val="00431953"/>
    <w:rsid w:val="00432EE9"/>
    <w:rsid w:val="00433EA0"/>
    <w:rsid w:val="004368B0"/>
    <w:rsid w:val="00443098"/>
    <w:rsid w:val="0044569E"/>
    <w:rsid w:val="00450296"/>
    <w:rsid w:val="00454615"/>
    <w:rsid w:val="004605D3"/>
    <w:rsid w:val="0046155B"/>
    <w:rsid w:val="00462E69"/>
    <w:rsid w:val="00465B8A"/>
    <w:rsid w:val="00467C40"/>
    <w:rsid w:val="00472B5A"/>
    <w:rsid w:val="00476BDC"/>
    <w:rsid w:val="004771D7"/>
    <w:rsid w:val="0048026E"/>
    <w:rsid w:val="00481654"/>
    <w:rsid w:val="00486378"/>
    <w:rsid w:val="00490D3F"/>
    <w:rsid w:val="004934FB"/>
    <w:rsid w:val="00494E13"/>
    <w:rsid w:val="0049620E"/>
    <w:rsid w:val="004971F6"/>
    <w:rsid w:val="004A009A"/>
    <w:rsid w:val="004A4E1A"/>
    <w:rsid w:val="004A5A12"/>
    <w:rsid w:val="004B463C"/>
    <w:rsid w:val="004B5251"/>
    <w:rsid w:val="004B6AF2"/>
    <w:rsid w:val="004B6F1C"/>
    <w:rsid w:val="004B74BF"/>
    <w:rsid w:val="004C15ED"/>
    <w:rsid w:val="004C4A81"/>
    <w:rsid w:val="004C669A"/>
    <w:rsid w:val="004C78BA"/>
    <w:rsid w:val="004D0DBD"/>
    <w:rsid w:val="004D28D3"/>
    <w:rsid w:val="004D3ABB"/>
    <w:rsid w:val="004E1E1D"/>
    <w:rsid w:val="004F081E"/>
    <w:rsid w:val="004F754C"/>
    <w:rsid w:val="0050359D"/>
    <w:rsid w:val="005040BB"/>
    <w:rsid w:val="00504516"/>
    <w:rsid w:val="00506874"/>
    <w:rsid w:val="00512E96"/>
    <w:rsid w:val="00521F53"/>
    <w:rsid w:val="00524596"/>
    <w:rsid w:val="005273C1"/>
    <w:rsid w:val="00536C76"/>
    <w:rsid w:val="00536FDF"/>
    <w:rsid w:val="00537182"/>
    <w:rsid w:val="0053747E"/>
    <w:rsid w:val="005412B5"/>
    <w:rsid w:val="00542E89"/>
    <w:rsid w:val="005456AB"/>
    <w:rsid w:val="005458B3"/>
    <w:rsid w:val="00545C9C"/>
    <w:rsid w:val="00546E9F"/>
    <w:rsid w:val="005505E4"/>
    <w:rsid w:val="005514EF"/>
    <w:rsid w:val="00556B72"/>
    <w:rsid w:val="00570E9C"/>
    <w:rsid w:val="00572F60"/>
    <w:rsid w:val="00590571"/>
    <w:rsid w:val="00592930"/>
    <w:rsid w:val="00594496"/>
    <w:rsid w:val="005961B6"/>
    <w:rsid w:val="005A3B9B"/>
    <w:rsid w:val="005B0499"/>
    <w:rsid w:val="005B22CB"/>
    <w:rsid w:val="005B24BA"/>
    <w:rsid w:val="005B539C"/>
    <w:rsid w:val="005C1669"/>
    <w:rsid w:val="005C32F4"/>
    <w:rsid w:val="005C5693"/>
    <w:rsid w:val="005C6634"/>
    <w:rsid w:val="005E0EDF"/>
    <w:rsid w:val="005F0017"/>
    <w:rsid w:val="005F7BFA"/>
    <w:rsid w:val="00600F5C"/>
    <w:rsid w:val="00603DE2"/>
    <w:rsid w:val="006042EC"/>
    <w:rsid w:val="006078F5"/>
    <w:rsid w:val="0061214F"/>
    <w:rsid w:val="00620444"/>
    <w:rsid w:val="00620BAB"/>
    <w:rsid w:val="00621A91"/>
    <w:rsid w:val="00622876"/>
    <w:rsid w:val="00624F7A"/>
    <w:rsid w:val="0063152B"/>
    <w:rsid w:val="0063425A"/>
    <w:rsid w:val="006351A3"/>
    <w:rsid w:val="00641DD9"/>
    <w:rsid w:val="006534E3"/>
    <w:rsid w:val="00653D09"/>
    <w:rsid w:val="00660674"/>
    <w:rsid w:val="00660F05"/>
    <w:rsid w:val="00666439"/>
    <w:rsid w:val="00667A9E"/>
    <w:rsid w:val="00673119"/>
    <w:rsid w:val="00680530"/>
    <w:rsid w:val="00680D31"/>
    <w:rsid w:val="006852C2"/>
    <w:rsid w:val="00685521"/>
    <w:rsid w:val="00685BBA"/>
    <w:rsid w:val="00691132"/>
    <w:rsid w:val="006A4E54"/>
    <w:rsid w:val="006A5587"/>
    <w:rsid w:val="006B3A03"/>
    <w:rsid w:val="006B7A8A"/>
    <w:rsid w:val="006C031F"/>
    <w:rsid w:val="006C187B"/>
    <w:rsid w:val="006C1C58"/>
    <w:rsid w:val="006C314A"/>
    <w:rsid w:val="006D2CD4"/>
    <w:rsid w:val="006E34EE"/>
    <w:rsid w:val="006E43E9"/>
    <w:rsid w:val="006E556B"/>
    <w:rsid w:val="006E5A51"/>
    <w:rsid w:val="006F0574"/>
    <w:rsid w:val="006F33FF"/>
    <w:rsid w:val="006F380C"/>
    <w:rsid w:val="006F4719"/>
    <w:rsid w:val="006F570A"/>
    <w:rsid w:val="006F6288"/>
    <w:rsid w:val="006F672F"/>
    <w:rsid w:val="007004BA"/>
    <w:rsid w:val="00700988"/>
    <w:rsid w:val="007025C1"/>
    <w:rsid w:val="0070635A"/>
    <w:rsid w:val="00706A6D"/>
    <w:rsid w:val="007121FB"/>
    <w:rsid w:val="00714191"/>
    <w:rsid w:val="00714E49"/>
    <w:rsid w:val="007158E4"/>
    <w:rsid w:val="007232A2"/>
    <w:rsid w:val="00723531"/>
    <w:rsid w:val="00725319"/>
    <w:rsid w:val="00727B6E"/>
    <w:rsid w:val="00731BCD"/>
    <w:rsid w:val="007325A9"/>
    <w:rsid w:val="00740EA3"/>
    <w:rsid w:val="007420A1"/>
    <w:rsid w:val="00747F4D"/>
    <w:rsid w:val="00750FF8"/>
    <w:rsid w:val="00752CC4"/>
    <w:rsid w:val="00755811"/>
    <w:rsid w:val="00756238"/>
    <w:rsid w:val="00761D79"/>
    <w:rsid w:val="00771F47"/>
    <w:rsid w:val="00774055"/>
    <w:rsid w:val="00774E04"/>
    <w:rsid w:val="00775FF9"/>
    <w:rsid w:val="00780AF0"/>
    <w:rsid w:val="00783DFF"/>
    <w:rsid w:val="00785578"/>
    <w:rsid w:val="00785E8D"/>
    <w:rsid w:val="00786245"/>
    <w:rsid w:val="00786311"/>
    <w:rsid w:val="00786ACE"/>
    <w:rsid w:val="00787690"/>
    <w:rsid w:val="00791EE9"/>
    <w:rsid w:val="00793477"/>
    <w:rsid w:val="00793894"/>
    <w:rsid w:val="00794800"/>
    <w:rsid w:val="00794AF2"/>
    <w:rsid w:val="007972BE"/>
    <w:rsid w:val="0079769F"/>
    <w:rsid w:val="007A00B1"/>
    <w:rsid w:val="007A15DD"/>
    <w:rsid w:val="007A22DC"/>
    <w:rsid w:val="007A3385"/>
    <w:rsid w:val="007B6B51"/>
    <w:rsid w:val="007C7C18"/>
    <w:rsid w:val="007D562D"/>
    <w:rsid w:val="007E5100"/>
    <w:rsid w:val="007E72DE"/>
    <w:rsid w:val="007F014E"/>
    <w:rsid w:val="007F5ADD"/>
    <w:rsid w:val="00827C5D"/>
    <w:rsid w:val="00831237"/>
    <w:rsid w:val="00831B13"/>
    <w:rsid w:val="00836B82"/>
    <w:rsid w:val="008424D4"/>
    <w:rsid w:val="00844B9E"/>
    <w:rsid w:val="00846476"/>
    <w:rsid w:val="008506C4"/>
    <w:rsid w:val="008530A3"/>
    <w:rsid w:val="00854284"/>
    <w:rsid w:val="008554F7"/>
    <w:rsid w:val="00871256"/>
    <w:rsid w:val="00873408"/>
    <w:rsid w:val="00875AD4"/>
    <w:rsid w:val="00882336"/>
    <w:rsid w:val="00884C69"/>
    <w:rsid w:val="00886B82"/>
    <w:rsid w:val="00891402"/>
    <w:rsid w:val="00891682"/>
    <w:rsid w:val="008917AC"/>
    <w:rsid w:val="00891FF1"/>
    <w:rsid w:val="0089398A"/>
    <w:rsid w:val="0089672B"/>
    <w:rsid w:val="008A334D"/>
    <w:rsid w:val="008B0C68"/>
    <w:rsid w:val="008B3253"/>
    <w:rsid w:val="008B532D"/>
    <w:rsid w:val="008B586C"/>
    <w:rsid w:val="008B6290"/>
    <w:rsid w:val="008B6B13"/>
    <w:rsid w:val="008C1B19"/>
    <w:rsid w:val="008C294D"/>
    <w:rsid w:val="008C4676"/>
    <w:rsid w:val="008C60A1"/>
    <w:rsid w:val="008D1A8A"/>
    <w:rsid w:val="008D3149"/>
    <w:rsid w:val="008D4B6D"/>
    <w:rsid w:val="008E4E98"/>
    <w:rsid w:val="008E71AE"/>
    <w:rsid w:val="008F2CB1"/>
    <w:rsid w:val="008F2DDE"/>
    <w:rsid w:val="008F2DED"/>
    <w:rsid w:val="008F3761"/>
    <w:rsid w:val="009022F1"/>
    <w:rsid w:val="009029AA"/>
    <w:rsid w:val="00902E02"/>
    <w:rsid w:val="00913E50"/>
    <w:rsid w:val="0091783C"/>
    <w:rsid w:val="00920706"/>
    <w:rsid w:val="00923333"/>
    <w:rsid w:val="0092378B"/>
    <w:rsid w:val="009253AC"/>
    <w:rsid w:val="009263A4"/>
    <w:rsid w:val="00931788"/>
    <w:rsid w:val="009366A6"/>
    <w:rsid w:val="009478B9"/>
    <w:rsid w:val="00951135"/>
    <w:rsid w:val="00951D9B"/>
    <w:rsid w:val="00955BC7"/>
    <w:rsid w:val="00964DAE"/>
    <w:rsid w:val="0096547D"/>
    <w:rsid w:val="0096715B"/>
    <w:rsid w:val="00972CCD"/>
    <w:rsid w:val="00974329"/>
    <w:rsid w:val="00974B97"/>
    <w:rsid w:val="00975396"/>
    <w:rsid w:val="00975C5C"/>
    <w:rsid w:val="00976287"/>
    <w:rsid w:val="0098458E"/>
    <w:rsid w:val="00992222"/>
    <w:rsid w:val="009A367A"/>
    <w:rsid w:val="009A3FA5"/>
    <w:rsid w:val="009A5C33"/>
    <w:rsid w:val="009A7349"/>
    <w:rsid w:val="009B51F2"/>
    <w:rsid w:val="009B6FA9"/>
    <w:rsid w:val="009C3804"/>
    <w:rsid w:val="009C3C0E"/>
    <w:rsid w:val="009C5E24"/>
    <w:rsid w:val="009C67F5"/>
    <w:rsid w:val="009D0F6D"/>
    <w:rsid w:val="009D1243"/>
    <w:rsid w:val="009D76B8"/>
    <w:rsid w:val="009E1C9E"/>
    <w:rsid w:val="009E1DBC"/>
    <w:rsid w:val="009E6749"/>
    <w:rsid w:val="009F1DF6"/>
    <w:rsid w:val="009F670F"/>
    <w:rsid w:val="00A01607"/>
    <w:rsid w:val="00A048A9"/>
    <w:rsid w:val="00A051DB"/>
    <w:rsid w:val="00A11157"/>
    <w:rsid w:val="00A15274"/>
    <w:rsid w:val="00A20356"/>
    <w:rsid w:val="00A20AC4"/>
    <w:rsid w:val="00A23690"/>
    <w:rsid w:val="00A23CB0"/>
    <w:rsid w:val="00A31EE8"/>
    <w:rsid w:val="00A32641"/>
    <w:rsid w:val="00A32CA9"/>
    <w:rsid w:val="00A372FA"/>
    <w:rsid w:val="00A407FC"/>
    <w:rsid w:val="00A44EBA"/>
    <w:rsid w:val="00A566F7"/>
    <w:rsid w:val="00A607D6"/>
    <w:rsid w:val="00A610C3"/>
    <w:rsid w:val="00A653B5"/>
    <w:rsid w:val="00A70ED4"/>
    <w:rsid w:val="00A70EFE"/>
    <w:rsid w:val="00A729D3"/>
    <w:rsid w:val="00A730F5"/>
    <w:rsid w:val="00A762BD"/>
    <w:rsid w:val="00A839FA"/>
    <w:rsid w:val="00A84DCB"/>
    <w:rsid w:val="00A90A5D"/>
    <w:rsid w:val="00A9340A"/>
    <w:rsid w:val="00A960EF"/>
    <w:rsid w:val="00AA0F03"/>
    <w:rsid w:val="00AC25E7"/>
    <w:rsid w:val="00AC3770"/>
    <w:rsid w:val="00AC7147"/>
    <w:rsid w:val="00AD0142"/>
    <w:rsid w:val="00AD47F1"/>
    <w:rsid w:val="00AD6E28"/>
    <w:rsid w:val="00AE03C9"/>
    <w:rsid w:val="00AE199E"/>
    <w:rsid w:val="00AE338C"/>
    <w:rsid w:val="00AF19E3"/>
    <w:rsid w:val="00B00F0B"/>
    <w:rsid w:val="00B0342F"/>
    <w:rsid w:val="00B07C57"/>
    <w:rsid w:val="00B10794"/>
    <w:rsid w:val="00B111B1"/>
    <w:rsid w:val="00B13135"/>
    <w:rsid w:val="00B14056"/>
    <w:rsid w:val="00B156C8"/>
    <w:rsid w:val="00B15AEC"/>
    <w:rsid w:val="00B17673"/>
    <w:rsid w:val="00B20B0D"/>
    <w:rsid w:val="00B243C0"/>
    <w:rsid w:val="00B255ED"/>
    <w:rsid w:val="00B276A3"/>
    <w:rsid w:val="00B32CA1"/>
    <w:rsid w:val="00B4007E"/>
    <w:rsid w:val="00B400EC"/>
    <w:rsid w:val="00B40C24"/>
    <w:rsid w:val="00B40F9B"/>
    <w:rsid w:val="00B42094"/>
    <w:rsid w:val="00B4500B"/>
    <w:rsid w:val="00B45CA6"/>
    <w:rsid w:val="00B5081C"/>
    <w:rsid w:val="00B528C8"/>
    <w:rsid w:val="00B6698B"/>
    <w:rsid w:val="00B72AE9"/>
    <w:rsid w:val="00B73B65"/>
    <w:rsid w:val="00B80D4A"/>
    <w:rsid w:val="00B816CC"/>
    <w:rsid w:val="00B82979"/>
    <w:rsid w:val="00B849C5"/>
    <w:rsid w:val="00B8567F"/>
    <w:rsid w:val="00B877E6"/>
    <w:rsid w:val="00B95E98"/>
    <w:rsid w:val="00B96605"/>
    <w:rsid w:val="00BA19C6"/>
    <w:rsid w:val="00BA64A4"/>
    <w:rsid w:val="00BA749C"/>
    <w:rsid w:val="00BB1674"/>
    <w:rsid w:val="00BB1B0E"/>
    <w:rsid w:val="00BB20A6"/>
    <w:rsid w:val="00BC025E"/>
    <w:rsid w:val="00BC6867"/>
    <w:rsid w:val="00BD2DF3"/>
    <w:rsid w:val="00BD36BA"/>
    <w:rsid w:val="00BD65D9"/>
    <w:rsid w:val="00BD70FE"/>
    <w:rsid w:val="00BE1428"/>
    <w:rsid w:val="00BF0FD1"/>
    <w:rsid w:val="00BF3E91"/>
    <w:rsid w:val="00BF5B1B"/>
    <w:rsid w:val="00C04BFA"/>
    <w:rsid w:val="00C1073A"/>
    <w:rsid w:val="00C13F3A"/>
    <w:rsid w:val="00C1516C"/>
    <w:rsid w:val="00C21904"/>
    <w:rsid w:val="00C21A28"/>
    <w:rsid w:val="00C24304"/>
    <w:rsid w:val="00C25AFD"/>
    <w:rsid w:val="00C33721"/>
    <w:rsid w:val="00C349C7"/>
    <w:rsid w:val="00C37266"/>
    <w:rsid w:val="00C43781"/>
    <w:rsid w:val="00C45F03"/>
    <w:rsid w:val="00C463F9"/>
    <w:rsid w:val="00C503D5"/>
    <w:rsid w:val="00C51830"/>
    <w:rsid w:val="00C56BD1"/>
    <w:rsid w:val="00C57541"/>
    <w:rsid w:val="00C6064B"/>
    <w:rsid w:val="00C6591A"/>
    <w:rsid w:val="00C67785"/>
    <w:rsid w:val="00C67BD0"/>
    <w:rsid w:val="00C70FDD"/>
    <w:rsid w:val="00C763E6"/>
    <w:rsid w:val="00C766F0"/>
    <w:rsid w:val="00C80862"/>
    <w:rsid w:val="00C82C5E"/>
    <w:rsid w:val="00C8714E"/>
    <w:rsid w:val="00C8792E"/>
    <w:rsid w:val="00C9122A"/>
    <w:rsid w:val="00C91F18"/>
    <w:rsid w:val="00C92D77"/>
    <w:rsid w:val="00C94E03"/>
    <w:rsid w:val="00C955E8"/>
    <w:rsid w:val="00C960E2"/>
    <w:rsid w:val="00CA41C7"/>
    <w:rsid w:val="00CB0587"/>
    <w:rsid w:val="00CB3DE9"/>
    <w:rsid w:val="00CB49C1"/>
    <w:rsid w:val="00CC3537"/>
    <w:rsid w:val="00CD79EB"/>
    <w:rsid w:val="00CF03DC"/>
    <w:rsid w:val="00CF1CBB"/>
    <w:rsid w:val="00CF4C53"/>
    <w:rsid w:val="00CF7047"/>
    <w:rsid w:val="00D06145"/>
    <w:rsid w:val="00D06478"/>
    <w:rsid w:val="00D0749B"/>
    <w:rsid w:val="00D07C78"/>
    <w:rsid w:val="00D119DB"/>
    <w:rsid w:val="00D126A1"/>
    <w:rsid w:val="00D1499F"/>
    <w:rsid w:val="00D1628D"/>
    <w:rsid w:val="00D16B7C"/>
    <w:rsid w:val="00D17DE4"/>
    <w:rsid w:val="00D20ABC"/>
    <w:rsid w:val="00D22297"/>
    <w:rsid w:val="00D252DF"/>
    <w:rsid w:val="00D2733F"/>
    <w:rsid w:val="00D52232"/>
    <w:rsid w:val="00D52904"/>
    <w:rsid w:val="00D546AE"/>
    <w:rsid w:val="00D60788"/>
    <w:rsid w:val="00D614B0"/>
    <w:rsid w:val="00D6189B"/>
    <w:rsid w:val="00D61C8C"/>
    <w:rsid w:val="00D6520B"/>
    <w:rsid w:val="00D679C2"/>
    <w:rsid w:val="00D71626"/>
    <w:rsid w:val="00D75B2B"/>
    <w:rsid w:val="00D8061B"/>
    <w:rsid w:val="00D82CEE"/>
    <w:rsid w:val="00D83FC0"/>
    <w:rsid w:val="00D909F7"/>
    <w:rsid w:val="00DA1ECF"/>
    <w:rsid w:val="00DA5285"/>
    <w:rsid w:val="00DA624C"/>
    <w:rsid w:val="00DA68CC"/>
    <w:rsid w:val="00DA7B71"/>
    <w:rsid w:val="00DB1AE2"/>
    <w:rsid w:val="00DC3051"/>
    <w:rsid w:val="00DC41B0"/>
    <w:rsid w:val="00DC45D0"/>
    <w:rsid w:val="00DC5AB6"/>
    <w:rsid w:val="00DC5D08"/>
    <w:rsid w:val="00DC6E5C"/>
    <w:rsid w:val="00DC750B"/>
    <w:rsid w:val="00DC77B5"/>
    <w:rsid w:val="00DD0773"/>
    <w:rsid w:val="00DD0BEE"/>
    <w:rsid w:val="00DD1F7A"/>
    <w:rsid w:val="00DD7E58"/>
    <w:rsid w:val="00DE0D35"/>
    <w:rsid w:val="00DE1737"/>
    <w:rsid w:val="00DE2689"/>
    <w:rsid w:val="00DE3580"/>
    <w:rsid w:val="00DE411F"/>
    <w:rsid w:val="00DE77AD"/>
    <w:rsid w:val="00DF01C0"/>
    <w:rsid w:val="00E00C00"/>
    <w:rsid w:val="00E01E59"/>
    <w:rsid w:val="00E02DC6"/>
    <w:rsid w:val="00E033A1"/>
    <w:rsid w:val="00E04A5E"/>
    <w:rsid w:val="00E04BC6"/>
    <w:rsid w:val="00E061A4"/>
    <w:rsid w:val="00E136C5"/>
    <w:rsid w:val="00E14456"/>
    <w:rsid w:val="00E1703A"/>
    <w:rsid w:val="00E23398"/>
    <w:rsid w:val="00E2560F"/>
    <w:rsid w:val="00E25820"/>
    <w:rsid w:val="00E27387"/>
    <w:rsid w:val="00E273EC"/>
    <w:rsid w:val="00E27D92"/>
    <w:rsid w:val="00E35A7F"/>
    <w:rsid w:val="00E37766"/>
    <w:rsid w:val="00E40716"/>
    <w:rsid w:val="00E40E61"/>
    <w:rsid w:val="00E45291"/>
    <w:rsid w:val="00E462F5"/>
    <w:rsid w:val="00E46B41"/>
    <w:rsid w:val="00E5699E"/>
    <w:rsid w:val="00E63EBA"/>
    <w:rsid w:val="00E7529B"/>
    <w:rsid w:val="00E755D8"/>
    <w:rsid w:val="00E82164"/>
    <w:rsid w:val="00E84833"/>
    <w:rsid w:val="00E86FFD"/>
    <w:rsid w:val="00E872FD"/>
    <w:rsid w:val="00E957C6"/>
    <w:rsid w:val="00E970D0"/>
    <w:rsid w:val="00EA1108"/>
    <w:rsid w:val="00EA679F"/>
    <w:rsid w:val="00EB0977"/>
    <w:rsid w:val="00EB52D3"/>
    <w:rsid w:val="00EC42A3"/>
    <w:rsid w:val="00EC4AC6"/>
    <w:rsid w:val="00EC6FB0"/>
    <w:rsid w:val="00ED0D27"/>
    <w:rsid w:val="00ED43DC"/>
    <w:rsid w:val="00ED4CC7"/>
    <w:rsid w:val="00ED5907"/>
    <w:rsid w:val="00EE0930"/>
    <w:rsid w:val="00EE0D62"/>
    <w:rsid w:val="00EE11A8"/>
    <w:rsid w:val="00EE3A3B"/>
    <w:rsid w:val="00EF0650"/>
    <w:rsid w:val="00EF1441"/>
    <w:rsid w:val="00EF1660"/>
    <w:rsid w:val="00EF2C65"/>
    <w:rsid w:val="00EF4BEA"/>
    <w:rsid w:val="00F032CD"/>
    <w:rsid w:val="00F11654"/>
    <w:rsid w:val="00F13FFD"/>
    <w:rsid w:val="00F170C2"/>
    <w:rsid w:val="00F176C8"/>
    <w:rsid w:val="00F252B7"/>
    <w:rsid w:val="00F26D48"/>
    <w:rsid w:val="00F31965"/>
    <w:rsid w:val="00F37DA3"/>
    <w:rsid w:val="00F37E78"/>
    <w:rsid w:val="00F45456"/>
    <w:rsid w:val="00F466CD"/>
    <w:rsid w:val="00F4695D"/>
    <w:rsid w:val="00F513BB"/>
    <w:rsid w:val="00F5172A"/>
    <w:rsid w:val="00F54795"/>
    <w:rsid w:val="00F678AF"/>
    <w:rsid w:val="00F72682"/>
    <w:rsid w:val="00F74DFF"/>
    <w:rsid w:val="00F76C12"/>
    <w:rsid w:val="00F82F5F"/>
    <w:rsid w:val="00F87351"/>
    <w:rsid w:val="00F874C7"/>
    <w:rsid w:val="00F953DE"/>
    <w:rsid w:val="00FA1B96"/>
    <w:rsid w:val="00FA1E21"/>
    <w:rsid w:val="00FA3AF8"/>
    <w:rsid w:val="00FB0E54"/>
    <w:rsid w:val="00FB20C9"/>
    <w:rsid w:val="00FB4073"/>
    <w:rsid w:val="00FB414D"/>
    <w:rsid w:val="00FC153A"/>
    <w:rsid w:val="00FC1D89"/>
    <w:rsid w:val="00FC2783"/>
    <w:rsid w:val="00FD0B0A"/>
    <w:rsid w:val="00FF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06"/>
    <w:pPr>
      <w:spacing w:after="200" w:line="276" w:lineRule="auto"/>
    </w:pPr>
    <w:rPr>
      <w:sz w:val="22"/>
      <w:szCs w:val="22"/>
    </w:rPr>
  </w:style>
  <w:style w:type="paragraph" w:styleId="Heading1">
    <w:name w:val="heading 1"/>
    <w:basedOn w:val="Normal"/>
    <w:next w:val="Normal"/>
    <w:link w:val="Heading1Char"/>
    <w:uiPriority w:val="9"/>
    <w:qFormat/>
    <w:rsid w:val="009207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F01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706"/>
    <w:rPr>
      <w:rFonts w:ascii="Cambria" w:eastAsia="Times New Roman" w:hAnsi="Cambria" w:cs="Times New Roman"/>
      <w:b/>
      <w:bCs/>
      <w:kern w:val="32"/>
      <w:sz w:val="32"/>
      <w:szCs w:val="32"/>
    </w:rPr>
  </w:style>
  <w:style w:type="paragraph" w:styleId="ListParagraph">
    <w:name w:val="List Paragraph"/>
    <w:basedOn w:val="Normal"/>
    <w:uiPriority w:val="34"/>
    <w:qFormat/>
    <w:rsid w:val="00920706"/>
    <w:pPr>
      <w:ind w:left="720"/>
      <w:contextualSpacing/>
    </w:pPr>
  </w:style>
  <w:style w:type="paragraph" w:styleId="Footer">
    <w:name w:val="footer"/>
    <w:basedOn w:val="Normal"/>
    <w:link w:val="FooterChar"/>
    <w:uiPriority w:val="99"/>
    <w:unhideWhenUsed/>
    <w:rsid w:val="00920706"/>
    <w:pPr>
      <w:tabs>
        <w:tab w:val="center" w:pos="4680"/>
        <w:tab w:val="right" w:pos="9360"/>
      </w:tabs>
    </w:pPr>
  </w:style>
  <w:style w:type="character" w:customStyle="1" w:styleId="FooterChar">
    <w:name w:val="Footer Char"/>
    <w:basedOn w:val="DefaultParagraphFont"/>
    <w:link w:val="Footer"/>
    <w:uiPriority w:val="99"/>
    <w:rsid w:val="00920706"/>
    <w:rPr>
      <w:rFonts w:ascii="Calibri" w:eastAsia="Calibri" w:hAnsi="Calibri" w:cs="Times New Roman"/>
    </w:rPr>
  </w:style>
  <w:style w:type="paragraph" w:styleId="NoSpacing">
    <w:name w:val="No Spacing"/>
    <w:link w:val="NoSpacingChar"/>
    <w:uiPriority w:val="1"/>
    <w:qFormat/>
    <w:rsid w:val="00920706"/>
    <w:rPr>
      <w:rFonts w:eastAsia="Times New Roman"/>
      <w:sz w:val="22"/>
      <w:szCs w:val="22"/>
    </w:rPr>
  </w:style>
  <w:style w:type="character" w:customStyle="1" w:styleId="NoSpacingChar">
    <w:name w:val="No Spacing Char"/>
    <w:basedOn w:val="DefaultParagraphFont"/>
    <w:link w:val="NoSpacing"/>
    <w:uiPriority w:val="1"/>
    <w:rsid w:val="00920706"/>
    <w:rPr>
      <w:rFonts w:eastAsia="Times New Roman"/>
      <w:sz w:val="22"/>
      <w:szCs w:val="22"/>
      <w:lang w:val="en-US" w:eastAsia="en-US" w:bidi="ar-SA"/>
    </w:rPr>
  </w:style>
  <w:style w:type="character" w:styleId="Hyperlink">
    <w:name w:val="Hyperlink"/>
    <w:basedOn w:val="DefaultParagraphFont"/>
    <w:uiPriority w:val="99"/>
    <w:unhideWhenUsed/>
    <w:rsid w:val="00920706"/>
    <w:rPr>
      <w:color w:val="0000FF"/>
      <w:u w:val="single"/>
    </w:rPr>
  </w:style>
  <w:style w:type="paragraph" w:styleId="FootnoteText">
    <w:name w:val="footnote text"/>
    <w:basedOn w:val="Normal"/>
    <w:link w:val="FootnoteTextChar"/>
    <w:uiPriority w:val="99"/>
    <w:unhideWhenUsed/>
    <w:rsid w:val="00920706"/>
    <w:rPr>
      <w:sz w:val="20"/>
      <w:szCs w:val="20"/>
    </w:rPr>
  </w:style>
  <w:style w:type="character" w:customStyle="1" w:styleId="FootnoteTextChar">
    <w:name w:val="Footnote Text Char"/>
    <w:basedOn w:val="DefaultParagraphFont"/>
    <w:link w:val="FootnoteText"/>
    <w:uiPriority w:val="99"/>
    <w:rsid w:val="009207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20706"/>
    <w:rPr>
      <w:vertAlign w:val="superscript"/>
    </w:rPr>
  </w:style>
  <w:style w:type="paragraph" w:styleId="NormalWeb">
    <w:name w:val="Normal (Web)"/>
    <w:basedOn w:val="Normal"/>
    <w:uiPriority w:val="99"/>
    <w:semiHidden/>
    <w:unhideWhenUsed/>
    <w:rsid w:val="003921B8"/>
    <w:pPr>
      <w:spacing w:before="100" w:beforeAutospacing="1" w:after="100" w:afterAutospacing="1" w:line="240" w:lineRule="auto"/>
    </w:pPr>
    <w:rPr>
      <w:rFonts w:ascii="Times New Roman" w:eastAsia="Times New Roman" w:hAnsi="Times New Roman"/>
      <w:sz w:val="24"/>
      <w:szCs w:val="24"/>
    </w:rPr>
  </w:style>
  <w:style w:type="paragraph" w:customStyle="1" w:styleId="IEctext1014TNR">
    <w:name w:val="IEc text 10/14 TNR"/>
    <w:basedOn w:val="Normal"/>
    <w:rsid w:val="00E462F5"/>
    <w:pPr>
      <w:spacing w:after="0" w:line="280" w:lineRule="exact"/>
      <w:ind w:right="374"/>
    </w:pPr>
    <w:rPr>
      <w:rFonts w:ascii="Times New Roman" w:eastAsia="Times" w:hAnsi="Times New Roman"/>
      <w:sz w:val="20"/>
      <w:szCs w:val="20"/>
    </w:rPr>
  </w:style>
  <w:style w:type="paragraph" w:customStyle="1" w:styleId="Default">
    <w:name w:val="Default"/>
    <w:rsid w:val="00ED0D27"/>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31965"/>
    <w:rPr>
      <w:sz w:val="16"/>
      <w:szCs w:val="16"/>
    </w:rPr>
  </w:style>
  <w:style w:type="paragraph" w:styleId="CommentText">
    <w:name w:val="annotation text"/>
    <w:basedOn w:val="Normal"/>
    <w:link w:val="CommentTextChar"/>
    <w:uiPriority w:val="99"/>
    <w:semiHidden/>
    <w:unhideWhenUsed/>
    <w:rsid w:val="00F31965"/>
    <w:rPr>
      <w:sz w:val="20"/>
      <w:szCs w:val="20"/>
    </w:rPr>
  </w:style>
  <w:style w:type="character" w:customStyle="1" w:styleId="CommentTextChar">
    <w:name w:val="Comment Text Char"/>
    <w:basedOn w:val="DefaultParagraphFont"/>
    <w:link w:val="CommentText"/>
    <w:uiPriority w:val="99"/>
    <w:semiHidden/>
    <w:rsid w:val="00F31965"/>
  </w:style>
  <w:style w:type="paragraph" w:styleId="CommentSubject">
    <w:name w:val="annotation subject"/>
    <w:basedOn w:val="CommentText"/>
    <w:next w:val="CommentText"/>
    <w:link w:val="CommentSubjectChar"/>
    <w:uiPriority w:val="99"/>
    <w:semiHidden/>
    <w:unhideWhenUsed/>
    <w:rsid w:val="00F31965"/>
    <w:rPr>
      <w:b/>
      <w:bCs/>
    </w:rPr>
  </w:style>
  <w:style w:type="character" w:customStyle="1" w:styleId="CommentSubjectChar">
    <w:name w:val="Comment Subject Char"/>
    <w:basedOn w:val="CommentTextChar"/>
    <w:link w:val="CommentSubject"/>
    <w:uiPriority w:val="99"/>
    <w:semiHidden/>
    <w:rsid w:val="00F31965"/>
    <w:rPr>
      <w:b/>
      <w:bCs/>
    </w:rPr>
  </w:style>
  <w:style w:type="paragraph" w:styleId="BalloonText">
    <w:name w:val="Balloon Text"/>
    <w:basedOn w:val="Normal"/>
    <w:link w:val="BalloonTextChar"/>
    <w:uiPriority w:val="99"/>
    <w:semiHidden/>
    <w:unhideWhenUsed/>
    <w:rsid w:val="00F3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65"/>
    <w:rPr>
      <w:rFonts w:ascii="Tahoma" w:hAnsi="Tahoma" w:cs="Tahoma"/>
      <w:sz w:val="16"/>
      <w:szCs w:val="16"/>
    </w:rPr>
  </w:style>
  <w:style w:type="paragraph" w:styleId="Header">
    <w:name w:val="header"/>
    <w:basedOn w:val="Normal"/>
    <w:link w:val="HeaderChar"/>
    <w:uiPriority w:val="99"/>
    <w:semiHidden/>
    <w:unhideWhenUsed/>
    <w:rsid w:val="00541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2B5"/>
    <w:rPr>
      <w:sz w:val="22"/>
      <w:szCs w:val="22"/>
    </w:rPr>
  </w:style>
  <w:style w:type="character" w:customStyle="1" w:styleId="Heading2Char">
    <w:name w:val="Heading 2 Char"/>
    <w:basedOn w:val="DefaultParagraphFont"/>
    <w:link w:val="Heading2"/>
    <w:uiPriority w:val="9"/>
    <w:semiHidden/>
    <w:rsid w:val="00DF01C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72F60"/>
    <w:pPr>
      <w:spacing w:after="100"/>
    </w:pPr>
  </w:style>
  <w:style w:type="paragraph" w:styleId="TOC2">
    <w:name w:val="toc 2"/>
    <w:basedOn w:val="Normal"/>
    <w:next w:val="Normal"/>
    <w:autoRedefine/>
    <w:uiPriority w:val="39"/>
    <w:unhideWhenUsed/>
    <w:rsid w:val="00572F60"/>
    <w:pPr>
      <w:spacing w:after="100"/>
      <w:ind w:left="220"/>
    </w:pPr>
  </w:style>
  <w:style w:type="paragraph" w:styleId="TOC3">
    <w:name w:val="toc 3"/>
    <w:basedOn w:val="Normal"/>
    <w:next w:val="Normal"/>
    <w:autoRedefine/>
    <w:uiPriority w:val="39"/>
    <w:unhideWhenUsed/>
    <w:rsid w:val="00572F60"/>
    <w:pPr>
      <w:spacing w:after="100"/>
      <w:ind w:left="440"/>
    </w:pPr>
  </w:style>
</w:styles>
</file>

<file path=word/webSettings.xml><?xml version="1.0" encoding="utf-8"?>
<w:webSettings xmlns:r="http://schemas.openxmlformats.org/officeDocument/2006/relationships" xmlns:w="http://schemas.openxmlformats.org/wordprocessingml/2006/main">
  <w:divs>
    <w:div w:id="705762950">
      <w:bodyDiv w:val="1"/>
      <w:marLeft w:val="0"/>
      <w:marRight w:val="0"/>
      <w:marTop w:val="0"/>
      <w:marBottom w:val="0"/>
      <w:divBdr>
        <w:top w:val="none" w:sz="0" w:space="0" w:color="auto"/>
        <w:left w:val="none" w:sz="0" w:space="0" w:color="auto"/>
        <w:bottom w:val="none" w:sz="0" w:space="0" w:color="auto"/>
        <w:right w:val="none" w:sz="0" w:space="0" w:color="auto"/>
      </w:divBdr>
    </w:div>
    <w:div w:id="729572627">
      <w:bodyDiv w:val="1"/>
      <w:marLeft w:val="0"/>
      <w:marRight w:val="0"/>
      <w:marTop w:val="0"/>
      <w:marBottom w:val="0"/>
      <w:divBdr>
        <w:top w:val="none" w:sz="0" w:space="0" w:color="auto"/>
        <w:left w:val="none" w:sz="0" w:space="0" w:color="auto"/>
        <w:bottom w:val="none" w:sz="0" w:space="0" w:color="auto"/>
        <w:right w:val="none" w:sz="0" w:space="0" w:color="auto"/>
      </w:divBdr>
    </w:div>
    <w:div w:id="8685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uc.state.pa.us/electric/pdf/Act129/FSWG-SL121009.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88AA-9940-4FD0-BD11-F37BA6DF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6739</Words>
  <Characters>38415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45064</CharactersWithSpaces>
  <SharedDoc>false</SharedDoc>
  <HLinks>
    <vt:vector size="6" baseType="variant">
      <vt:variant>
        <vt:i4>851971</vt:i4>
      </vt:variant>
      <vt:variant>
        <vt:i4>0</vt:i4>
      </vt:variant>
      <vt:variant>
        <vt:i4>0</vt:i4>
      </vt:variant>
      <vt:variant>
        <vt:i4>5</vt:i4>
      </vt:variant>
      <vt:variant>
        <vt:lpwstr>http://www.puc.state.pa.us/electric/pdf/Act129/FSWG-SL121009.pdf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dgill</dc:creator>
  <cp:keywords/>
  <dc:description/>
  <cp:lastModifiedBy>jdodge</cp:lastModifiedBy>
  <cp:revision>10</cp:revision>
  <cp:lastPrinted>2010-04-29T19:32:00Z</cp:lastPrinted>
  <dcterms:created xsi:type="dcterms:W3CDTF">2010-04-29T18:44:00Z</dcterms:created>
  <dcterms:modified xsi:type="dcterms:W3CDTF">2010-05-10T17:43:00Z</dcterms:modified>
</cp:coreProperties>
</file>